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AF2D" w14:textId="49E02EF5" w:rsidR="009D2B5F" w:rsidRPr="001C0949" w:rsidRDefault="009D2B5F" w:rsidP="009D2B5F">
      <w:pPr>
        <w:spacing w:after="0" w:line="360" w:lineRule="auto"/>
        <w:jc w:val="both"/>
        <w:rPr>
          <w:b/>
          <w:bCs/>
        </w:rPr>
      </w:pPr>
      <w:bookmarkStart w:id="0" w:name="_Hlk182996650"/>
      <w:r w:rsidRPr="001C0949">
        <w:rPr>
          <w:b/>
          <w:bCs/>
        </w:rPr>
        <w:t xml:space="preserve">Wybór </w:t>
      </w:r>
      <w:r w:rsidR="00666669" w:rsidRPr="001C0949">
        <w:rPr>
          <w:b/>
          <w:bCs/>
        </w:rPr>
        <w:t>formy</w:t>
      </w:r>
      <w:r w:rsidRPr="001C0949">
        <w:rPr>
          <w:b/>
          <w:bCs/>
        </w:rPr>
        <w:t xml:space="preserve"> opodatkowania dochodów z pozarolniczej działalności gospodarczej </w:t>
      </w:r>
      <w:bookmarkEnd w:id="0"/>
      <w:r w:rsidRPr="001C0949">
        <w:rPr>
          <w:b/>
          <w:bCs/>
        </w:rPr>
        <w:t xml:space="preserve">– glosa do wyroku Naczelnego Sądu Administracyjnego </w:t>
      </w:r>
      <w:bookmarkStart w:id="1" w:name="_Hlk182996315"/>
      <w:r w:rsidRPr="001C0949">
        <w:rPr>
          <w:b/>
          <w:bCs/>
        </w:rPr>
        <w:t>z 22.02.2024 r., II FSK 710/21</w:t>
      </w:r>
    </w:p>
    <w:bookmarkEnd w:id="1"/>
    <w:p w14:paraId="29582474" w14:textId="77777777" w:rsidR="009D2B5F" w:rsidRPr="001C0949" w:rsidRDefault="009D2B5F" w:rsidP="009D2B5F">
      <w:pPr>
        <w:spacing w:after="0" w:line="360" w:lineRule="auto"/>
        <w:jc w:val="both"/>
        <w:rPr>
          <w:b/>
          <w:bCs/>
        </w:rPr>
      </w:pPr>
    </w:p>
    <w:p w14:paraId="541A5FFD" w14:textId="635FA12C" w:rsidR="009D2B5F" w:rsidRPr="001C0949" w:rsidRDefault="009D2B5F" w:rsidP="009D2B5F">
      <w:pPr>
        <w:spacing w:after="0" w:line="360" w:lineRule="auto"/>
        <w:jc w:val="both"/>
      </w:pPr>
      <w:r w:rsidRPr="001C0949">
        <w:rPr>
          <w:b/>
          <w:bCs/>
        </w:rPr>
        <w:t>Słowa kluczowe:</w:t>
      </w:r>
      <w:r w:rsidR="004863A0" w:rsidRPr="001C0949">
        <w:rPr>
          <w:b/>
          <w:bCs/>
        </w:rPr>
        <w:t xml:space="preserve"> </w:t>
      </w:r>
      <w:r w:rsidR="004863A0" w:rsidRPr="001C0949">
        <w:t xml:space="preserve">podatek dochodowy od osób fizycznych, </w:t>
      </w:r>
      <w:r w:rsidR="00F50C11" w:rsidRPr="001C0949">
        <w:t>forma opodatkowania, skala</w:t>
      </w:r>
      <w:r w:rsidR="00DB6753" w:rsidRPr="001C0949">
        <w:t xml:space="preserve"> </w:t>
      </w:r>
      <w:r w:rsidR="00043850" w:rsidRPr="001C0949">
        <w:t>proporcjonalna</w:t>
      </w:r>
      <w:r w:rsidR="00F50C11" w:rsidRPr="001C0949">
        <w:t xml:space="preserve">, </w:t>
      </w:r>
      <w:r w:rsidR="004863A0" w:rsidRPr="001C0949">
        <w:t>pozarolnicza działalność gospodarcza</w:t>
      </w:r>
      <w:r w:rsidR="009849EA" w:rsidRPr="001C0949">
        <w:t>,</w:t>
      </w:r>
      <w:r w:rsidR="004863A0" w:rsidRPr="001C0949">
        <w:t xml:space="preserve"> oświadczenie woli, </w:t>
      </w:r>
      <w:r w:rsidR="006E6406" w:rsidRPr="001C0949">
        <w:t xml:space="preserve">polecenie </w:t>
      </w:r>
      <w:r w:rsidR="004863A0" w:rsidRPr="001C0949">
        <w:t>przele</w:t>
      </w:r>
      <w:r w:rsidR="006E6406" w:rsidRPr="001C0949">
        <w:t>wu</w:t>
      </w:r>
      <w:r w:rsidR="002320F4" w:rsidRPr="001C0949">
        <w:t xml:space="preserve"> </w:t>
      </w:r>
    </w:p>
    <w:p w14:paraId="454C1CA9" w14:textId="77777777" w:rsidR="004863A0" w:rsidRPr="001C0949" w:rsidRDefault="004863A0" w:rsidP="009D2B5F">
      <w:pPr>
        <w:spacing w:after="0" w:line="360" w:lineRule="auto"/>
        <w:jc w:val="both"/>
        <w:rPr>
          <w:b/>
          <w:bCs/>
        </w:rPr>
      </w:pPr>
    </w:p>
    <w:p w14:paraId="22940780" w14:textId="3A2ADF12" w:rsidR="004863A0" w:rsidRPr="001C0949" w:rsidRDefault="004863A0" w:rsidP="004863A0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1C0949">
        <w:rPr>
          <w:b/>
          <w:bCs/>
        </w:rPr>
        <w:t>Uwagi wstępne</w:t>
      </w:r>
    </w:p>
    <w:p w14:paraId="78F0424F" w14:textId="59FEDB7F" w:rsidR="00E93623" w:rsidRPr="001C0949" w:rsidRDefault="00AE7BE7" w:rsidP="00223DFC">
      <w:pPr>
        <w:spacing w:after="0" w:line="360" w:lineRule="auto"/>
        <w:ind w:firstLine="360"/>
        <w:jc w:val="both"/>
      </w:pPr>
      <w:r w:rsidRPr="001C0949">
        <w:t xml:space="preserve">Celem niniejszej glosy jest </w:t>
      </w:r>
      <w:r w:rsidR="009524C8" w:rsidRPr="001C0949">
        <w:t>ocena trafności</w:t>
      </w:r>
      <w:r w:rsidRPr="001C0949">
        <w:t xml:space="preserve"> wyroku</w:t>
      </w:r>
      <w:r w:rsidR="002363EB" w:rsidRPr="001C0949">
        <w:t xml:space="preserve"> Naczelnego Sądu Administracyjnego</w:t>
      </w:r>
      <w:r w:rsidR="002363EB" w:rsidRPr="001C0949">
        <w:rPr>
          <w:rStyle w:val="Odwoanieprzypisudolnego"/>
        </w:rPr>
        <w:footnoteReference w:id="1"/>
      </w:r>
      <w:r w:rsidRPr="001C0949">
        <w:t xml:space="preserve"> z 22.02.2024 r., II FSK 710/21. W komentowanym orzeczeniu</w:t>
      </w:r>
      <w:r w:rsidR="002363EB" w:rsidRPr="001C0949">
        <w:t xml:space="preserve"> NSA </w:t>
      </w:r>
      <w:r w:rsidR="00771D37" w:rsidRPr="001C0949">
        <w:t>rozstrzygał</w:t>
      </w:r>
      <w:r w:rsidRPr="001C0949">
        <w:t xml:space="preserve"> o</w:t>
      </w:r>
      <w:r w:rsidR="006E0DA5" w:rsidRPr="001C0949">
        <w:t xml:space="preserve"> sposobie </w:t>
      </w:r>
      <w:r w:rsidR="00DB0B30" w:rsidRPr="001C0949">
        <w:t>wyboru</w:t>
      </w:r>
      <w:r w:rsidR="002F1772" w:rsidRPr="001C0949">
        <w:t xml:space="preserve"> </w:t>
      </w:r>
      <w:r w:rsidR="006E0DA5" w:rsidRPr="001C0949">
        <w:t>opodatkowania dochodów z pozarolniczej działalności gospodarczej</w:t>
      </w:r>
      <w:r w:rsidR="00FD3540" w:rsidRPr="001C0949">
        <w:t>.</w:t>
      </w:r>
      <w:r w:rsidR="002A0B9E" w:rsidRPr="001C0949">
        <w:t xml:space="preserve"> </w:t>
      </w:r>
      <w:r w:rsidRPr="001C0949">
        <w:t xml:space="preserve">Naczelny Sąd Administracyjny </w:t>
      </w:r>
      <w:r w:rsidR="004717A8" w:rsidRPr="001C0949">
        <w:t>uznał</w:t>
      </w:r>
      <w:r w:rsidRPr="001C0949">
        <w:t xml:space="preserve">, że </w:t>
      </w:r>
      <w:r w:rsidR="002300AE" w:rsidRPr="001C0949">
        <w:t xml:space="preserve">oświadczenie </w:t>
      </w:r>
      <w:r w:rsidR="0006515C" w:rsidRPr="001C0949">
        <w:t xml:space="preserve">woli o wyborze formy opodatkowania dochodów z </w:t>
      </w:r>
      <w:r w:rsidR="00C5344A" w:rsidRPr="001C0949">
        <w:t>pozarolniczej</w:t>
      </w:r>
      <w:r w:rsidR="0006515C" w:rsidRPr="001C0949">
        <w:t xml:space="preserve"> działalności </w:t>
      </w:r>
      <w:r w:rsidR="00C5344A" w:rsidRPr="001C0949">
        <w:t xml:space="preserve">gospodarczej podatkiem </w:t>
      </w:r>
      <w:r w:rsidR="00043850" w:rsidRPr="001C0949">
        <w:t>o stałej stawce podatkowej</w:t>
      </w:r>
      <w:r w:rsidR="00C5344A" w:rsidRPr="001C0949">
        <w:t xml:space="preserve"> może być </w:t>
      </w:r>
      <w:r w:rsidR="00FC2DD5" w:rsidRPr="001C0949">
        <w:t xml:space="preserve">skutecznie złożone w tytule </w:t>
      </w:r>
      <w:r w:rsidR="00B5412A" w:rsidRPr="001C0949">
        <w:t xml:space="preserve">polecenia </w:t>
      </w:r>
      <w:r w:rsidR="00FC2DD5" w:rsidRPr="001C0949">
        <w:t>przelewu</w:t>
      </w:r>
      <w:r w:rsidR="008E635B" w:rsidRPr="001C0949">
        <w:t xml:space="preserve"> bankowego</w:t>
      </w:r>
      <w:r w:rsidR="00FC2DD5" w:rsidRPr="001C0949">
        <w:t xml:space="preserve">. </w:t>
      </w:r>
      <w:r w:rsidR="00771D37" w:rsidRPr="001C0949">
        <w:t>Zdaniem sądu w</w:t>
      </w:r>
      <w:r w:rsidR="00FC2DD5" w:rsidRPr="001C0949">
        <w:t>arunkiem skuteczności</w:t>
      </w:r>
      <w:r w:rsidR="00F72E29" w:rsidRPr="001C0949">
        <w:t xml:space="preserve"> złożonego </w:t>
      </w:r>
      <w:r w:rsidR="002F208C" w:rsidRPr="001C0949">
        <w:t>oświadczenia</w:t>
      </w:r>
      <w:r w:rsidR="002C1BB4" w:rsidRPr="001C0949">
        <w:t xml:space="preserve"> jest</w:t>
      </w:r>
      <w:r w:rsidR="00B315BB" w:rsidRPr="001C0949">
        <w:t xml:space="preserve"> to, aby treść zawarta w tytule </w:t>
      </w:r>
      <w:r w:rsidR="00335774" w:rsidRPr="001C0949">
        <w:t xml:space="preserve">polecenia </w:t>
      </w:r>
      <w:r w:rsidR="00D86AA4" w:rsidRPr="001C0949">
        <w:t>przelewu</w:t>
      </w:r>
      <w:r w:rsidR="00E70F6A" w:rsidRPr="001C0949">
        <w:t xml:space="preserve"> </w:t>
      </w:r>
      <w:r w:rsidR="002C1BB4" w:rsidRPr="001C0949">
        <w:t>dostateczn</w:t>
      </w:r>
      <w:r w:rsidR="001043C6" w:rsidRPr="001C0949">
        <w:t>i</w:t>
      </w:r>
      <w:r w:rsidR="002C1BB4" w:rsidRPr="001C0949">
        <w:t>e ujawni</w:t>
      </w:r>
      <w:r w:rsidR="00B315BB" w:rsidRPr="001C0949">
        <w:t xml:space="preserve">ała </w:t>
      </w:r>
      <w:r w:rsidR="002C1BB4" w:rsidRPr="001C0949">
        <w:t>wol</w:t>
      </w:r>
      <w:r w:rsidR="00B315BB" w:rsidRPr="001C0949">
        <w:t>ę</w:t>
      </w:r>
      <w:r w:rsidR="002C1BB4" w:rsidRPr="001C0949">
        <w:t xml:space="preserve"> podatnika</w:t>
      </w:r>
      <w:r w:rsidR="006E0DA5" w:rsidRPr="001C0949">
        <w:t xml:space="preserve">. </w:t>
      </w:r>
      <w:r w:rsidR="00887048" w:rsidRPr="001C0949">
        <w:t xml:space="preserve">Jak się wydaje, </w:t>
      </w:r>
      <w:r w:rsidRPr="001C0949">
        <w:t xml:space="preserve">zarówno sentencja </w:t>
      </w:r>
      <w:proofErr w:type="spellStart"/>
      <w:r w:rsidRPr="001C0949">
        <w:t>glosowanego</w:t>
      </w:r>
      <w:proofErr w:type="spellEnd"/>
      <w:r w:rsidRPr="001C0949">
        <w:t xml:space="preserve"> wyroku, jak jego uzasadnienie nie zasługują na aprobat</w:t>
      </w:r>
      <w:r w:rsidR="00223DFC" w:rsidRPr="001C0949">
        <w:t>ę.</w:t>
      </w:r>
      <w:r w:rsidR="006E5A5E" w:rsidRPr="001C0949">
        <w:tab/>
      </w:r>
      <w:r w:rsidR="00E933AA" w:rsidRPr="001C0949">
        <w:tab/>
      </w:r>
    </w:p>
    <w:p w14:paraId="2BD0CE69" w14:textId="1CF9698E" w:rsidR="00E06B69" w:rsidRPr="001C0949" w:rsidRDefault="00180085" w:rsidP="00335774">
      <w:pPr>
        <w:spacing w:after="0" w:line="360" w:lineRule="auto"/>
        <w:ind w:firstLine="360"/>
        <w:jc w:val="both"/>
      </w:pPr>
      <w:r w:rsidRPr="001C0949">
        <w:t>W świetle aktualnie obowiązujących przepisów ustawy o podatku dochodowym od osób fizycznych</w:t>
      </w:r>
      <w:r w:rsidR="004D12A3" w:rsidRPr="001C0949">
        <w:rPr>
          <w:rStyle w:val="Odwoanieprzypisudolnego"/>
        </w:rPr>
        <w:footnoteReference w:id="2"/>
      </w:r>
      <w:r w:rsidRPr="001C0949">
        <w:t xml:space="preserve"> </w:t>
      </w:r>
      <w:r w:rsidR="00380C6C" w:rsidRPr="001C0949">
        <w:t xml:space="preserve">dochody </w:t>
      </w:r>
      <w:r w:rsidR="008B0D78" w:rsidRPr="001C0949">
        <w:t>osiąg</w:t>
      </w:r>
      <w:r w:rsidR="00664772" w:rsidRPr="001C0949">
        <w:t>ane</w:t>
      </w:r>
      <w:r w:rsidR="008B0D78" w:rsidRPr="001C0949">
        <w:t xml:space="preserve"> przez podatnika są </w:t>
      </w:r>
      <w:r w:rsidR="00F36650" w:rsidRPr="001C0949">
        <w:t xml:space="preserve">co do zasady </w:t>
      </w:r>
      <w:r w:rsidR="008B0D78" w:rsidRPr="001C0949">
        <w:t xml:space="preserve">opodatkowane według skali </w:t>
      </w:r>
      <w:r w:rsidR="00EF39A9" w:rsidRPr="001C0949">
        <w:t>progresywnej</w:t>
      </w:r>
      <w:r w:rsidR="00575429" w:rsidRPr="001C0949">
        <w:t xml:space="preserve"> z zastosowaniem stawek 12</w:t>
      </w:r>
      <w:r w:rsidR="00EC560B" w:rsidRPr="001C0949">
        <w:t>% i 32%.</w:t>
      </w:r>
      <w:r w:rsidR="00F93136" w:rsidRPr="001C0949">
        <w:t xml:space="preserve"> </w:t>
      </w:r>
      <w:r w:rsidR="00F827BD" w:rsidRPr="001C0949">
        <w:t>P</w:t>
      </w:r>
      <w:r w:rsidR="002E5B9F" w:rsidRPr="001C0949">
        <w:t xml:space="preserve">rzepisy </w:t>
      </w:r>
      <w:r w:rsidR="00897065" w:rsidRPr="001C0949">
        <w:t>ustawy</w:t>
      </w:r>
      <w:r w:rsidR="001F5340" w:rsidRPr="001C0949">
        <w:t xml:space="preserve"> podatkowej</w:t>
      </w:r>
      <w:r w:rsidR="00897065" w:rsidRPr="001C0949">
        <w:t xml:space="preserve"> </w:t>
      </w:r>
      <w:r w:rsidR="002E5B9F" w:rsidRPr="001C0949">
        <w:t>dopuszczają</w:t>
      </w:r>
      <w:r w:rsidR="00897065" w:rsidRPr="001C0949">
        <w:t xml:space="preserve"> równie</w:t>
      </w:r>
      <w:r w:rsidR="00EA2218" w:rsidRPr="001C0949">
        <w:t>ż</w:t>
      </w:r>
      <w:r w:rsidR="004B6A62" w:rsidRPr="001C0949">
        <w:t xml:space="preserve"> możliwość opodatkowania </w:t>
      </w:r>
      <w:r w:rsidR="00C147CC" w:rsidRPr="001C0949">
        <w:t xml:space="preserve">dochodów </w:t>
      </w:r>
      <w:r w:rsidR="00187E0C" w:rsidRPr="001C0949">
        <w:t xml:space="preserve">według skali proporcjonalnej. </w:t>
      </w:r>
      <w:r w:rsidR="002909C5" w:rsidRPr="001C0949">
        <w:t xml:space="preserve">Stawka podatku </w:t>
      </w:r>
      <w:r w:rsidR="00424E1B" w:rsidRPr="001C0949">
        <w:t>bez względu na wysokość podstawy wymiarowej</w:t>
      </w:r>
      <w:r w:rsidR="002909C5" w:rsidRPr="001C0949">
        <w:t xml:space="preserve"> wynosi </w:t>
      </w:r>
      <w:r w:rsidR="001A41EA" w:rsidRPr="001C0949">
        <w:t xml:space="preserve">zawsze </w:t>
      </w:r>
      <w:r w:rsidR="002909C5" w:rsidRPr="001C0949">
        <w:t>19%</w:t>
      </w:r>
      <w:r w:rsidR="002E3608" w:rsidRPr="001C0949">
        <w:t xml:space="preserve">. </w:t>
      </w:r>
      <w:r w:rsidR="006B690C" w:rsidRPr="001C0949">
        <w:t xml:space="preserve">Zgodnie z normą wynikającą </w:t>
      </w:r>
      <w:r w:rsidR="0046160B" w:rsidRPr="001C0949">
        <w:t xml:space="preserve">z przepisu art. </w:t>
      </w:r>
      <w:r w:rsidR="0013183A" w:rsidRPr="001C0949">
        <w:t xml:space="preserve">30c ust. 1 </w:t>
      </w:r>
      <w:proofErr w:type="spellStart"/>
      <w:r w:rsidR="0013183A" w:rsidRPr="001C0949">
        <w:t>u.p.d.o.f</w:t>
      </w:r>
      <w:proofErr w:type="spellEnd"/>
      <w:r w:rsidR="0013183A" w:rsidRPr="001C0949">
        <w:t>.</w:t>
      </w:r>
      <w:r w:rsidR="00354EB4" w:rsidRPr="001C0949">
        <w:t xml:space="preserve"> stawka </w:t>
      </w:r>
      <w:r w:rsidR="000D5DC1" w:rsidRPr="001C0949">
        <w:t>w tej wysokości</w:t>
      </w:r>
      <w:r w:rsidR="00354EB4" w:rsidRPr="001C0949">
        <w:t xml:space="preserve"> ma zastosowanie </w:t>
      </w:r>
      <w:r w:rsidR="000D5DC1" w:rsidRPr="001C0949">
        <w:t>d</w:t>
      </w:r>
      <w:r w:rsidR="00354EB4" w:rsidRPr="001C0949">
        <w:t>o dochodów</w:t>
      </w:r>
      <w:r w:rsidR="00BF6B0D" w:rsidRPr="001C0949">
        <w:t xml:space="preserve"> osiąganych z pozarolniczej działalności gospodarczej lub działów specjalnych produkcji rolnej. </w:t>
      </w:r>
      <w:r w:rsidR="009D6D63" w:rsidRPr="001C0949">
        <w:t>W myśl art. 9</w:t>
      </w:r>
      <w:r w:rsidR="00E32066" w:rsidRPr="001C0949">
        <w:t xml:space="preserve">a ust. 2 </w:t>
      </w:r>
      <w:proofErr w:type="spellStart"/>
      <w:r w:rsidR="00E32066" w:rsidRPr="001C0949">
        <w:t>u.p.d.o.f</w:t>
      </w:r>
      <w:proofErr w:type="spellEnd"/>
      <w:r w:rsidR="00E32066" w:rsidRPr="001C0949">
        <w:t xml:space="preserve">. </w:t>
      </w:r>
      <w:r w:rsidR="00D276D4" w:rsidRPr="001C0949">
        <w:t xml:space="preserve">warunkiem koniecznym </w:t>
      </w:r>
      <w:r w:rsidR="00E875EF" w:rsidRPr="001C0949">
        <w:t xml:space="preserve">skutecznego </w:t>
      </w:r>
      <w:r w:rsidR="006C4578" w:rsidRPr="001C0949">
        <w:t>opodatkowania w</w:t>
      </w:r>
      <w:r w:rsidR="00CF4990" w:rsidRPr="001C0949">
        <w:t>edłu</w:t>
      </w:r>
      <w:r w:rsidR="006C4578" w:rsidRPr="001C0949">
        <w:t>g skali proporcjonalnej</w:t>
      </w:r>
      <w:r w:rsidR="008F40EE" w:rsidRPr="001C0949">
        <w:t xml:space="preserve"> jest </w:t>
      </w:r>
      <w:r w:rsidR="00335774" w:rsidRPr="001C0949">
        <w:t xml:space="preserve">dokonanie czynności konwencjonalnej w postaci złożenia </w:t>
      </w:r>
      <w:r w:rsidR="0035086B" w:rsidRPr="001C0949">
        <w:lastRenderedPageBreak/>
        <w:t xml:space="preserve">oświadczenia </w:t>
      </w:r>
      <w:r w:rsidR="00335774" w:rsidRPr="001C0949">
        <w:t xml:space="preserve">woli </w:t>
      </w:r>
      <w:r w:rsidR="00CE23A3" w:rsidRPr="001C0949">
        <w:t xml:space="preserve">właściwemu organowi podatkowemu w </w:t>
      </w:r>
      <w:r w:rsidR="0071370D" w:rsidRPr="001C0949">
        <w:t>ustawowym terminie</w:t>
      </w:r>
      <w:r w:rsidR="009D363C" w:rsidRPr="001C0949">
        <w:rPr>
          <w:rStyle w:val="Odwoanieprzypisudolnego"/>
        </w:rPr>
        <w:footnoteReference w:id="3"/>
      </w:r>
      <w:r w:rsidR="00CE23A3" w:rsidRPr="001C0949">
        <w:t xml:space="preserve">. </w:t>
      </w:r>
      <w:r w:rsidR="0071370D" w:rsidRPr="001C0949">
        <w:t xml:space="preserve">Oświadczenie to powinno być </w:t>
      </w:r>
      <w:r w:rsidR="0035086B" w:rsidRPr="001C0949">
        <w:t>sporządzone na piśmie</w:t>
      </w:r>
      <w:r w:rsidR="00E875EF" w:rsidRPr="001C0949">
        <w:t xml:space="preserve"> i</w:t>
      </w:r>
      <w:r w:rsidR="0035086B" w:rsidRPr="001C0949">
        <w:t xml:space="preserve"> </w:t>
      </w:r>
      <w:r w:rsidR="00030798" w:rsidRPr="001C0949">
        <w:t xml:space="preserve">zaadresowane do </w:t>
      </w:r>
      <w:r w:rsidR="00111BD3" w:rsidRPr="001C0949">
        <w:t xml:space="preserve">właściwego miejscowo </w:t>
      </w:r>
      <w:r w:rsidR="00030798" w:rsidRPr="001C0949">
        <w:t>naczelnika urzędu skarbowego.</w:t>
      </w:r>
      <w:r w:rsidR="00F827BD" w:rsidRPr="001C0949">
        <w:t xml:space="preserve"> </w:t>
      </w:r>
      <w:r w:rsidR="00CF7EF8" w:rsidRPr="001C0949">
        <w:t>Ustawodawc</w:t>
      </w:r>
      <w:r w:rsidR="00FF6BF4" w:rsidRPr="001C0949">
        <w:t xml:space="preserve">a </w:t>
      </w:r>
      <w:r w:rsidR="00721DE0" w:rsidRPr="001C0949">
        <w:t>dopuszcza</w:t>
      </w:r>
      <w:r w:rsidR="00FF6BF4" w:rsidRPr="001C0949">
        <w:t xml:space="preserve"> </w:t>
      </w:r>
      <w:r w:rsidR="00F827BD" w:rsidRPr="001C0949">
        <w:t>także</w:t>
      </w:r>
      <w:r w:rsidR="00FF6BF4" w:rsidRPr="001C0949">
        <w:t xml:space="preserve"> możliwość </w:t>
      </w:r>
      <w:r w:rsidR="00721DE0" w:rsidRPr="001C0949">
        <w:t>złożenia o</w:t>
      </w:r>
      <w:r w:rsidR="00FF6BF4" w:rsidRPr="001C0949">
        <w:t>świadczeni</w:t>
      </w:r>
      <w:r w:rsidR="00EA3630" w:rsidRPr="001C0949">
        <w:t>a</w:t>
      </w:r>
      <w:r w:rsidR="00FF6BF4" w:rsidRPr="001C0949">
        <w:t xml:space="preserve"> na podstawie przepisów ustawy o CEIDG</w:t>
      </w:r>
      <w:r w:rsidR="00EE1D2E" w:rsidRPr="001C0949">
        <w:rPr>
          <w:rStyle w:val="Odwoanieprzypisudolnego"/>
        </w:rPr>
        <w:footnoteReference w:id="4"/>
      </w:r>
      <w:r w:rsidR="00FF6BF4" w:rsidRPr="001C0949">
        <w:t>.</w:t>
      </w:r>
    </w:p>
    <w:p w14:paraId="282C2738" w14:textId="0F47DB1A" w:rsidR="00F9625B" w:rsidRPr="001C0949" w:rsidRDefault="00256933" w:rsidP="00E06B69">
      <w:pPr>
        <w:spacing w:after="0" w:line="360" w:lineRule="auto"/>
        <w:ind w:firstLine="360"/>
        <w:jc w:val="both"/>
      </w:pPr>
      <w:r w:rsidRPr="001C0949">
        <w:t>W glosie należało</w:t>
      </w:r>
      <w:r w:rsidR="00984A41" w:rsidRPr="001C0949">
        <w:t xml:space="preserve"> </w:t>
      </w:r>
      <w:r w:rsidR="00C33AC7" w:rsidRPr="001C0949">
        <w:t xml:space="preserve">przede wszystkim </w:t>
      </w:r>
      <w:r w:rsidR="006844C5" w:rsidRPr="001C0949">
        <w:t xml:space="preserve">ocenić </w:t>
      </w:r>
      <w:r w:rsidR="007D55A6" w:rsidRPr="001C0949">
        <w:t>skuteczność</w:t>
      </w:r>
      <w:r w:rsidR="00F529D4" w:rsidRPr="001C0949">
        <w:t xml:space="preserve"> </w:t>
      </w:r>
      <w:r w:rsidR="007D55A6" w:rsidRPr="001C0949">
        <w:t xml:space="preserve">oświadczenia woli o zmianie </w:t>
      </w:r>
      <w:r w:rsidR="009D4848" w:rsidRPr="001C0949">
        <w:t>formy</w:t>
      </w:r>
      <w:r w:rsidR="007D55A6" w:rsidRPr="001C0949">
        <w:t xml:space="preserve"> opodatkowania</w:t>
      </w:r>
      <w:r w:rsidR="00AC343E" w:rsidRPr="001C0949">
        <w:t>, które podatnik złożył</w:t>
      </w:r>
      <w:r w:rsidR="00881BAD" w:rsidRPr="001C0949">
        <w:t xml:space="preserve"> w treści tytułu </w:t>
      </w:r>
      <w:r w:rsidR="008A625B" w:rsidRPr="001C0949">
        <w:t xml:space="preserve">polecenia </w:t>
      </w:r>
      <w:r w:rsidR="00881BAD" w:rsidRPr="001C0949">
        <w:t xml:space="preserve">przelewu. </w:t>
      </w:r>
      <w:r w:rsidR="00780A0F" w:rsidRPr="001C0949">
        <w:t>Prawidłowa ocena stanowiska</w:t>
      </w:r>
      <w:r w:rsidR="00CD47E9" w:rsidRPr="001C0949">
        <w:t xml:space="preserve"> przyjętego przez </w:t>
      </w:r>
      <w:r w:rsidR="00E90632" w:rsidRPr="001C0949">
        <w:t>NSA</w:t>
      </w:r>
      <w:r w:rsidR="00C309E0" w:rsidRPr="001C0949">
        <w:t xml:space="preserve"> </w:t>
      </w:r>
      <w:r w:rsidR="00CD47E9" w:rsidRPr="001C0949">
        <w:t xml:space="preserve">w </w:t>
      </w:r>
      <w:proofErr w:type="spellStart"/>
      <w:r w:rsidR="00CD47E9" w:rsidRPr="001C0949">
        <w:t>glosowan</w:t>
      </w:r>
      <w:r w:rsidR="00C309E0" w:rsidRPr="001C0949">
        <w:t>ym</w:t>
      </w:r>
      <w:proofErr w:type="spellEnd"/>
      <w:r w:rsidR="00CD47E9" w:rsidRPr="001C0949">
        <w:t xml:space="preserve"> wyroku wymagała </w:t>
      </w:r>
    </w:p>
    <w:p w14:paraId="22C38F74" w14:textId="3451FA3D" w:rsidR="009E237B" w:rsidRPr="001C0949" w:rsidRDefault="00F9625B" w:rsidP="00C77BE9">
      <w:pPr>
        <w:spacing w:after="0" w:line="360" w:lineRule="auto"/>
        <w:jc w:val="both"/>
        <w:rPr>
          <w:rFonts w:eastAsia="Arial" w:cs="Arial"/>
          <w:kern w:val="0"/>
          <w:szCs w:val="24"/>
          <w14:ligatures w14:val="none"/>
        </w:rPr>
      </w:pPr>
      <w:r w:rsidRPr="001C0949">
        <w:rPr>
          <w:rFonts w:eastAsia="Arial" w:cs="Arial"/>
          <w:kern w:val="0"/>
          <w:szCs w:val="24"/>
          <w14:ligatures w14:val="none"/>
        </w:rPr>
        <w:t>wyjścia poza zakres norm wywiedzionych z ustaw podatkowych</w:t>
      </w:r>
      <w:r w:rsidR="00D92D83" w:rsidRPr="001C0949">
        <w:rPr>
          <w:rFonts w:eastAsia="Arial" w:cs="Arial"/>
          <w:kern w:val="0"/>
          <w:szCs w:val="24"/>
          <w14:ligatures w14:val="none"/>
        </w:rPr>
        <w:t xml:space="preserve">. Tymczasem </w:t>
      </w:r>
      <w:r w:rsidR="0051759E" w:rsidRPr="001C0949">
        <w:rPr>
          <w:rFonts w:eastAsia="Arial" w:cs="Arial"/>
          <w:kern w:val="0"/>
          <w:szCs w:val="24"/>
          <w14:ligatures w14:val="none"/>
        </w:rPr>
        <w:t>N</w:t>
      </w:r>
      <w:r w:rsidR="00D92D83" w:rsidRPr="001C0949">
        <w:rPr>
          <w:rFonts w:eastAsia="Arial" w:cs="Arial"/>
          <w:kern w:val="0"/>
          <w:szCs w:val="24"/>
          <w14:ligatures w14:val="none"/>
        </w:rPr>
        <w:t>SA</w:t>
      </w:r>
      <w:r w:rsidR="00AC16DC" w:rsidRPr="001C0949">
        <w:rPr>
          <w:rFonts w:eastAsia="Arial" w:cs="Arial"/>
          <w:kern w:val="0"/>
          <w:szCs w:val="24"/>
          <w14:ligatures w14:val="none"/>
        </w:rPr>
        <w:t xml:space="preserve"> nie dokonał </w:t>
      </w:r>
      <w:r w:rsidR="00D70992" w:rsidRPr="001C0949">
        <w:rPr>
          <w:rFonts w:eastAsia="Arial" w:cs="Arial"/>
          <w:kern w:val="0"/>
          <w:szCs w:val="24"/>
          <w14:ligatures w14:val="none"/>
        </w:rPr>
        <w:t>właściwej wykładni</w:t>
      </w:r>
      <w:r w:rsidR="00AC16DC" w:rsidRPr="001C0949">
        <w:rPr>
          <w:rFonts w:eastAsia="Arial" w:cs="Arial"/>
          <w:kern w:val="0"/>
          <w:szCs w:val="24"/>
          <w14:ligatures w14:val="none"/>
        </w:rPr>
        <w:t xml:space="preserve"> przepisów prawnych</w:t>
      </w:r>
      <w:r w:rsidR="00FA455E" w:rsidRPr="001C0949">
        <w:rPr>
          <w:rFonts w:eastAsia="Arial" w:cs="Arial"/>
          <w:kern w:val="0"/>
          <w:szCs w:val="24"/>
          <w14:ligatures w14:val="none"/>
        </w:rPr>
        <w:t xml:space="preserve"> mających znaczenie dla </w:t>
      </w:r>
      <w:r w:rsidR="00932364" w:rsidRPr="001C0949">
        <w:rPr>
          <w:rFonts w:eastAsia="Arial" w:cs="Arial"/>
          <w:kern w:val="0"/>
          <w:szCs w:val="24"/>
          <w14:ligatures w14:val="none"/>
        </w:rPr>
        <w:t>analizowanej</w:t>
      </w:r>
      <w:r w:rsidR="00FA455E" w:rsidRPr="001C0949">
        <w:rPr>
          <w:rFonts w:eastAsia="Arial" w:cs="Arial"/>
          <w:kern w:val="0"/>
          <w:szCs w:val="24"/>
          <w14:ligatures w14:val="none"/>
        </w:rPr>
        <w:t xml:space="preserve"> sprawy</w:t>
      </w:r>
      <w:r w:rsidR="00990A30" w:rsidRPr="001C0949">
        <w:rPr>
          <w:rFonts w:eastAsia="Arial" w:cs="Arial"/>
          <w:kern w:val="0"/>
          <w:szCs w:val="24"/>
          <w14:ligatures w14:val="none"/>
        </w:rPr>
        <w:t xml:space="preserve">, </w:t>
      </w:r>
      <w:r w:rsidR="00836FE0" w:rsidRPr="001C0949">
        <w:rPr>
          <w:rFonts w:eastAsia="Arial" w:cs="Arial"/>
          <w:kern w:val="0"/>
          <w:szCs w:val="24"/>
          <w14:ligatures w14:val="none"/>
        </w:rPr>
        <w:t xml:space="preserve">błędnie </w:t>
      </w:r>
      <w:r w:rsidR="002A594B" w:rsidRPr="001C0949">
        <w:rPr>
          <w:rFonts w:eastAsia="Arial" w:cs="Arial"/>
          <w:kern w:val="0"/>
          <w:szCs w:val="24"/>
          <w14:ligatures w14:val="none"/>
        </w:rPr>
        <w:t xml:space="preserve">przyjmując </w:t>
      </w:r>
      <w:r w:rsidR="00C50235" w:rsidRPr="001C0949">
        <w:rPr>
          <w:rFonts w:eastAsia="Arial" w:cs="Arial"/>
          <w:kern w:val="0"/>
          <w:szCs w:val="24"/>
          <w14:ligatures w14:val="none"/>
        </w:rPr>
        <w:t xml:space="preserve">za podstawę </w:t>
      </w:r>
      <w:r w:rsidR="00836FE0" w:rsidRPr="001C0949">
        <w:rPr>
          <w:rFonts w:eastAsia="Arial" w:cs="Arial"/>
          <w:kern w:val="0"/>
          <w:szCs w:val="24"/>
          <w14:ligatures w14:val="none"/>
        </w:rPr>
        <w:t>s</w:t>
      </w:r>
      <w:r w:rsidR="003879C8" w:rsidRPr="001C0949">
        <w:rPr>
          <w:rFonts w:eastAsia="Arial" w:cs="Arial"/>
          <w:kern w:val="0"/>
          <w:szCs w:val="24"/>
          <w14:ligatures w14:val="none"/>
        </w:rPr>
        <w:t>wojego rozstrzygnięcia</w:t>
      </w:r>
      <w:r w:rsidR="00357BB7" w:rsidRPr="001C0949">
        <w:rPr>
          <w:rFonts w:eastAsia="Arial" w:cs="Arial"/>
          <w:kern w:val="0"/>
          <w:szCs w:val="24"/>
          <w14:ligatures w14:val="none"/>
        </w:rPr>
        <w:t xml:space="preserve"> jedynie </w:t>
      </w:r>
      <w:r w:rsidR="00C50235" w:rsidRPr="001C0949">
        <w:rPr>
          <w:rFonts w:eastAsia="Arial" w:cs="Arial"/>
          <w:kern w:val="0"/>
          <w:szCs w:val="24"/>
          <w14:ligatures w14:val="none"/>
        </w:rPr>
        <w:t xml:space="preserve">rezultat </w:t>
      </w:r>
      <w:r w:rsidR="00357BB7" w:rsidRPr="001C0949">
        <w:rPr>
          <w:rFonts w:eastAsia="Arial" w:cs="Arial"/>
          <w:kern w:val="0"/>
          <w:szCs w:val="24"/>
          <w14:ligatures w14:val="none"/>
        </w:rPr>
        <w:t>wykładni językowe</w:t>
      </w:r>
      <w:r w:rsidR="00D95E88" w:rsidRPr="001C0949">
        <w:rPr>
          <w:rFonts w:eastAsia="Arial" w:cs="Arial"/>
          <w:kern w:val="0"/>
          <w:szCs w:val="24"/>
          <w14:ligatures w14:val="none"/>
        </w:rPr>
        <w:t xml:space="preserve">j. </w:t>
      </w:r>
      <w:r w:rsidR="00AB12B1" w:rsidRPr="001C0949">
        <w:rPr>
          <w:rFonts w:eastAsia="Arial" w:cs="Arial"/>
          <w:kern w:val="0"/>
          <w:szCs w:val="24"/>
          <w14:ligatures w14:val="none"/>
        </w:rPr>
        <w:t xml:space="preserve">Dla </w:t>
      </w:r>
      <w:r w:rsidR="00195095" w:rsidRPr="001C0949">
        <w:rPr>
          <w:rFonts w:eastAsia="Arial" w:cs="Arial"/>
          <w:kern w:val="0"/>
          <w:szCs w:val="24"/>
          <w14:ligatures w14:val="none"/>
        </w:rPr>
        <w:t xml:space="preserve">oceny </w:t>
      </w:r>
      <w:proofErr w:type="spellStart"/>
      <w:r w:rsidR="00195095" w:rsidRPr="001C0949">
        <w:rPr>
          <w:rFonts w:eastAsia="Arial" w:cs="Arial"/>
          <w:kern w:val="0"/>
          <w:szCs w:val="24"/>
          <w14:ligatures w14:val="none"/>
        </w:rPr>
        <w:t>glosowanego</w:t>
      </w:r>
      <w:proofErr w:type="spellEnd"/>
      <w:r w:rsidR="00195095" w:rsidRPr="001C0949">
        <w:rPr>
          <w:rFonts w:eastAsia="Arial" w:cs="Arial"/>
          <w:kern w:val="0"/>
          <w:szCs w:val="24"/>
          <w14:ligatures w14:val="none"/>
        </w:rPr>
        <w:t xml:space="preserve"> orzeczenia konieczne stało się </w:t>
      </w:r>
      <w:r w:rsidR="00341548" w:rsidRPr="001C0949">
        <w:rPr>
          <w:rFonts w:eastAsia="Arial" w:cs="Arial"/>
          <w:kern w:val="0"/>
          <w:szCs w:val="24"/>
          <w14:ligatures w14:val="none"/>
        </w:rPr>
        <w:t>ustalenie</w:t>
      </w:r>
      <w:r w:rsidR="00195095" w:rsidRPr="001C0949">
        <w:rPr>
          <w:rFonts w:eastAsia="Arial" w:cs="Arial"/>
          <w:kern w:val="0"/>
          <w:szCs w:val="24"/>
          <w14:ligatures w14:val="none"/>
        </w:rPr>
        <w:t xml:space="preserve"> </w:t>
      </w:r>
      <w:r w:rsidR="0030405D" w:rsidRPr="001C0949">
        <w:rPr>
          <w:rFonts w:eastAsia="Arial" w:cs="Arial"/>
          <w:kern w:val="0"/>
          <w:szCs w:val="24"/>
          <w14:ligatures w14:val="none"/>
        </w:rPr>
        <w:t xml:space="preserve">nie tylko </w:t>
      </w:r>
      <w:r w:rsidR="00195095" w:rsidRPr="001C0949">
        <w:rPr>
          <w:rFonts w:eastAsia="Arial" w:cs="Arial"/>
          <w:kern w:val="0"/>
          <w:szCs w:val="24"/>
          <w14:ligatures w14:val="none"/>
        </w:rPr>
        <w:t xml:space="preserve">znaczenia </w:t>
      </w:r>
      <w:r w:rsidR="00112D8B" w:rsidRPr="001C0949">
        <w:rPr>
          <w:rFonts w:eastAsia="Arial" w:cs="Arial"/>
          <w:kern w:val="0"/>
          <w:szCs w:val="24"/>
          <w14:ligatures w14:val="none"/>
        </w:rPr>
        <w:t>zwrotu</w:t>
      </w:r>
      <w:r w:rsidR="00A12E0C" w:rsidRPr="001C0949">
        <w:rPr>
          <w:rFonts w:eastAsia="Arial" w:cs="Arial"/>
          <w:kern w:val="0"/>
          <w:szCs w:val="24"/>
          <w14:ligatures w14:val="none"/>
        </w:rPr>
        <w:t xml:space="preserve"> „sporządz</w:t>
      </w:r>
      <w:r w:rsidR="00C91293" w:rsidRPr="001C0949">
        <w:rPr>
          <w:rFonts w:eastAsia="Arial" w:cs="Arial"/>
          <w:kern w:val="0"/>
          <w:szCs w:val="24"/>
          <w14:ligatures w14:val="none"/>
        </w:rPr>
        <w:t>ić coś na piśmie”</w:t>
      </w:r>
      <w:r w:rsidR="00875716" w:rsidRPr="001C0949">
        <w:rPr>
          <w:rFonts w:eastAsia="Arial" w:cs="Arial"/>
          <w:kern w:val="0"/>
          <w:szCs w:val="24"/>
          <w14:ligatures w14:val="none"/>
        </w:rPr>
        <w:t>,</w:t>
      </w:r>
      <w:r w:rsidR="00E44057" w:rsidRPr="001C0949">
        <w:rPr>
          <w:rFonts w:eastAsia="Arial" w:cs="Arial"/>
          <w:kern w:val="0"/>
          <w:szCs w:val="24"/>
          <w14:ligatures w14:val="none"/>
        </w:rPr>
        <w:t xml:space="preserve"> </w:t>
      </w:r>
      <w:r w:rsidR="003561B5" w:rsidRPr="001C0949">
        <w:rPr>
          <w:rFonts w:eastAsia="Arial" w:cs="Arial"/>
          <w:kern w:val="0"/>
          <w:szCs w:val="24"/>
          <w14:ligatures w14:val="none"/>
        </w:rPr>
        <w:t>o którym stanowi art. 9</w:t>
      </w:r>
      <w:r w:rsidR="00E44057" w:rsidRPr="001C0949">
        <w:rPr>
          <w:rFonts w:eastAsia="Arial" w:cs="Arial"/>
          <w:kern w:val="0"/>
          <w:szCs w:val="24"/>
          <w14:ligatures w14:val="none"/>
        </w:rPr>
        <w:t xml:space="preserve">a ust 2 </w:t>
      </w:r>
      <w:proofErr w:type="spellStart"/>
      <w:r w:rsidR="00E44057" w:rsidRPr="001C0949">
        <w:rPr>
          <w:rFonts w:eastAsia="Arial" w:cs="Arial"/>
          <w:kern w:val="0"/>
          <w:szCs w:val="24"/>
          <w14:ligatures w14:val="none"/>
        </w:rPr>
        <w:t>u.p.d.o.f</w:t>
      </w:r>
      <w:proofErr w:type="spellEnd"/>
      <w:r w:rsidR="00E44057" w:rsidRPr="001C0949">
        <w:rPr>
          <w:rFonts w:eastAsia="Arial" w:cs="Arial"/>
          <w:kern w:val="0"/>
          <w:szCs w:val="24"/>
          <w14:ligatures w14:val="none"/>
        </w:rPr>
        <w:t>,</w:t>
      </w:r>
      <w:r w:rsidR="00875716" w:rsidRPr="001C0949">
        <w:rPr>
          <w:rFonts w:eastAsia="Arial" w:cs="Arial"/>
          <w:kern w:val="0"/>
          <w:szCs w:val="24"/>
          <w14:ligatures w14:val="none"/>
        </w:rPr>
        <w:t xml:space="preserve"> a</w:t>
      </w:r>
      <w:r w:rsidR="0030405D" w:rsidRPr="001C0949">
        <w:rPr>
          <w:rFonts w:eastAsia="Arial" w:cs="Arial"/>
          <w:kern w:val="0"/>
          <w:szCs w:val="24"/>
          <w14:ligatures w14:val="none"/>
        </w:rPr>
        <w:t>le</w:t>
      </w:r>
      <w:r w:rsidR="00B83F93" w:rsidRPr="001C0949">
        <w:rPr>
          <w:rFonts w:eastAsia="Arial" w:cs="Arial"/>
          <w:kern w:val="0"/>
          <w:szCs w:val="24"/>
          <w14:ligatures w14:val="none"/>
        </w:rPr>
        <w:t xml:space="preserve"> także</w:t>
      </w:r>
      <w:r w:rsidR="00836FE0" w:rsidRPr="001C0949">
        <w:rPr>
          <w:rFonts w:eastAsia="Arial" w:cs="Arial"/>
          <w:kern w:val="0"/>
          <w:szCs w:val="24"/>
          <w14:ligatures w14:val="none"/>
        </w:rPr>
        <w:t xml:space="preserve"> zbadanie charakteru czynności</w:t>
      </w:r>
      <w:r w:rsidR="00D968F1" w:rsidRPr="001C0949">
        <w:rPr>
          <w:rFonts w:eastAsia="Arial" w:cs="Arial"/>
          <w:kern w:val="0"/>
          <w:szCs w:val="24"/>
          <w14:ligatures w14:val="none"/>
        </w:rPr>
        <w:t>,</w:t>
      </w:r>
      <w:r w:rsidR="009A2A6D" w:rsidRPr="001C0949">
        <w:rPr>
          <w:rFonts w:eastAsia="Arial" w:cs="Arial"/>
          <w:kern w:val="0"/>
          <w:szCs w:val="24"/>
          <w14:ligatures w14:val="none"/>
        </w:rPr>
        <w:t xml:space="preserve"> którą</w:t>
      </w:r>
      <w:r w:rsidR="00836FE0" w:rsidRPr="001C0949">
        <w:rPr>
          <w:rFonts w:eastAsia="Arial" w:cs="Arial"/>
          <w:kern w:val="0"/>
          <w:szCs w:val="24"/>
          <w14:ligatures w14:val="none"/>
        </w:rPr>
        <w:t xml:space="preserve"> jest polecenie przelewu. </w:t>
      </w:r>
      <w:r w:rsidR="00325E01" w:rsidRPr="001C0949">
        <w:rPr>
          <w:rFonts w:eastAsia="Arial" w:cs="Arial"/>
          <w:kern w:val="0"/>
          <w:szCs w:val="24"/>
          <w14:ligatures w14:val="none"/>
        </w:rPr>
        <w:t>W</w:t>
      </w:r>
      <w:r w:rsidR="006A016B" w:rsidRPr="001C0949">
        <w:rPr>
          <w:rFonts w:eastAsia="Arial" w:cs="Arial"/>
          <w:kern w:val="0"/>
          <w:szCs w:val="24"/>
          <w14:ligatures w14:val="none"/>
        </w:rPr>
        <w:t xml:space="preserve"> glosie dokonano</w:t>
      </w:r>
      <w:r w:rsidR="00325E01" w:rsidRPr="001C0949">
        <w:rPr>
          <w:rFonts w:eastAsia="Arial" w:cs="Arial"/>
          <w:kern w:val="0"/>
          <w:szCs w:val="24"/>
          <w14:ligatures w14:val="none"/>
        </w:rPr>
        <w:t xml:space="preserve"> także</w:t>
      </w:r>
      <w:r w:rsidR="006A016B" w:rsidRPr="001C0949">
        <w:rPr>
          <w:rFonts w:eastAsia="Arial" w:cs="Arial"/>
          <w:kern w:val="0"/>
          <w:szCs w:val="24"/>
          <w14:ligatures w14:val="none"/>
        </w:rPr>
        <w:t xml:space="preserve"> </w:t>
      </w:r>
      <w:r w:rsidR="00AE502F" w:rsidRPr="001C0949">
        <w:rPr>
          <w:rFonts w:eastAsia="Arial" w:cs="Arial"/>
          <w:kern w:val="0"/>
          <w:szCs w:val="24"/>
          <w14:ligatures w14:val="none"/>
        </w:rPr>
        <w:t>rozróżnieni</w:t>
      </w:r>
      <w:r w:rsidR="00837687" w:rsidRPr="001C0949">
        <w:rPr>
          <w:rFonts w:eastAsia="Arial" w:cs="Arial"/>
          <w:kern w:val="0"/>
          <w:szCs w:val="24"/>
          <w14:ligatures w14:val="none"/>
        </w:rPr>
        <w:t xml:space="preserve">a </w:t>
      </w:r>
      <w:r w:rsidR="00325E01" w:rsidRPr="001C0949">
        <w:rPr>
          <w:rFonts w:eastAsia="Arial" w:cs="Arial"/>
          <w:kern w:val="0"/>
          <w:szCs w:val="24"/>
          <w14:ligatures w14:val="none"/>
        </w:rPr>
        <w:t>podstawowych</w:t>
      </w:r>
      <w:r w:rsidR="007246F0" w:rsidRPr="001C0949">
        <w:rPr>
          <w:rFonts w:eastAsia="Arial" w:cs="Arial"/>
          <w:kern w:val="0"/>
          <w:szCs w:val="24"/>
          <w14:ligatures w14:val="none"/>
        </w:rPr>
        <w:t xml:space="preserve"> </w:t>
      </w:r>
      <w:r w:rsidR="00837687" w:rsidRPr="001C0949">
        <w:rPr>
          <w:rFonts w:eastAsia="Arial" w:cs="Arial"/>
          <w:kern w:val="0"/>
          <w:szCs w:val="24"/>
          <w14:ligatures w14:val="none"/>
        </w:rPr>
        <w:t>pojęć „</w:t>
      </w:r>
      <w:r w:rsidR="002D5A24" w:rsidRPr="001C0949">
        <w:rPr>
          <w:rFonts w:eastAsia="Arial" w:cs="Arial"/>
          <w:kern w:val="0"/>
          <w:szCs w:val="24"/>
          <w14:ligatures w14:val="none"/>
        </w:rPr>
        <w:t xml:space="preserve">postać” i „forma” oświadczenia woli, co w konsekwencji pozwoliło </w:t>
      </w:r>
      <w:r w:rsidR="001B69CE" w:rsidRPr="001C0949">
        <w:rPr>
          <w:rFonts w:eastAsia="Arial" w:cs="Arial"/>
          <w:kern w:val="0"/>
          <w:szCs w:val="24"/>
          <w14:ligatures w14:val="none"/>
        </w:rPr>
        <w:t>stwierdzić, czy</w:t>
      </w:r>
      <w:r w:rsidR="00547C9A" w:rsidRPr="001C0949">
        <w:rPr>
          <w:rFonts w:eastAsia="Arial" w:cs="Arial"/>
          <w:kern w:val="0"/>
          <w:szCs w:val="24"/>
          <w14:ligatures w14:val="none"/>
        </w:rPr>
        <w:t xml:space="preserve"> </w:t>
      </w:r>
      <w:r w:rsidR="0030405D" w:rsidRPr="001C0949">
        <w:rPr>
          <w:rFonts w:eastAsia="Arial" w:cs="Arial"/>
          <w:kern w:val="0"/>
          <w:szCs w:val="24"/>
          <w14:ligatures w14:val="none"/>
        </w:rPr>
        <w:t>ujawnienie</w:t>
      </w:r>
      <w:r w:rsidR="00E674BE" w:rsidRPr="001C0949">
        <w:rPr>
          <w:rFonts w:eastAsia="Arial" w:cs="Arial"/>
          <w:kern w:val="0"/>
          <w:szCs w:val="24"/>
          <w14:ligatures w14:val="none"/>
        </w:rPr>
        <w:t xml:space="preserve"> </w:t>
      </w:r>
      <w:r w:rsidR="00547C9A" w:rsidRPr="001C0949">
        <w:rPr>
          <w:rFonts w:eastAsia="Arial" w:cs="Arial"/>
          <w:kern w:val="0"/>
          <w:szCs w:val="24"/>
          <w14:ligatures w14:val="none"/>
        </w:rPr>
        <w:t xml:space="preserve">woli </w:t>
      </w:r>
      <w:r w:rsidR="0030405D" w:rsidRPr="001C0949">
        <w:rPr>
          <w:rFonts w:eastAsia="Arial" w:cs="Arial"/>
          <w:kern w:val="0"/>
          <w:szCs w:val="24"/>
          <w14:ligatures w14:val="none"/>
        </w:rPr>
        <w:t xml:space="preserve">podatnika </w:t>
      </w:r>
      <w:r w:rsidR="00547C9A" w:rsidRPr="001C0949">
        <w:rPr>
          <w:rFonts w:eastAsia="Arial" w:cs="Arial"/>
          <w:kern w:val="0"/>
          <w:szCs w:val="24"/>
          <w14:ligatures w14:val="none"/>
        </w:rPr>
        <w:t xml:space="preserve">w tytule </w:t>
      </w:r>
      <w:r w:rsidR="00CE2CE0" w:rsidRPr="001C0949">
        <w:rPr>
          <w:rFonts w:eastAsia="Arial" w:cs="Arial"/>
          <w:kern w:val="0"/>
          <w:szCs w:val="24"/>
          <w14:ligatures w14:val="none"/>
        </w:rPr>
        <w:t xml:space="preserve">polecenia </w:t>
      </w:r>
      <w:r w:rsidR="00547C9A" w:rsidRPr="001C0949">
        <w:rPr>
          <w:rFonts w:eastAsia="Arial" w:cs="Arial"/>
          <w:kern w:val="0"/>
          <w:szCs w:val="24"/>
          <w14:ligatures w14:val="none"/>
        </w:rPr>
        <w:t xml:space="preserve">przelewu można </w:t>
      </w:r>
      <w:r w:rsidR="00E674BE" w:rsidRPr="001C0949">
        <w:rPr>
          <w:rFonts w:eastAsia="Arial" w:cs="Arial"/>
          <w:kern w:val="0"/>
          <w:szCs w:val="24"/>
          <w14:ligatures w14:val="none"/>
        </w:rPr>
        <w:t>uznać za skuteczne w r</w:t>
      </w:r>
      <w:r w:rsidR="00C23877" w:rsidRPr="001C0949">
        <w:rPr>
          <w:rFonts w:eastAsia="Arial" w:cs="Arial"/>
          <w:kern w:val="0"/>
          <w:szCs w:val="24"/>
          <w14:ligatures w14:val="none"/>
        </w:rPr>
        <w:t xml:space="preserve">ozumieniu przepisu art. 9a ust. 2 </w:t>
      </w:r>
      <w:proofErr w:type="spellStart"/>
      <w:r w:rsidR="00C23877" w:rsidRPr="001C0949">
        <w:rPr>
          <w:rFonts w:eastAsia="Arial" w:cs="Arial"/>
          <w:kern w:val="0"/>
          <w:szCs w:val="24"/>
          <w14:ligatures w14:val="none"/>
        </w:rPr>
        <w:t>u.p.d.o.f</w:t>
      </w:r>
      <w:proofErr w:type="spellEnd"/>
      <w:r w:rsidR="0005595A" w:rsidRPr="001C0949">
        <w:rPr>
          <w:rFonts w:eastAsia="Arial" w:cs="Arial"/>
          <w:kern w:val="0"/>
          <w:szCs w:val="24"/>
          <w14:ligatures w14:val="none"/>
        </w:rPr>
        <w:t>.</w:t>
      </w:r>
      <w:r w:rsidR="00E94DAE" w:rsidRPr="001C0949">
        <w:rPr>
          <w:rFonts w:eastAsia="Arial" w:cs="Arial"/>
          <w:kern w:val="0"/>
          <w:szCs w:val="24"/>
          <w14:ligatures w14:val="none"/>
        </w:rPr>
        <w:t xml:space="preserve"> </w:t>
      </w:r>
      <w:r w:rsidR="005E07A6" w:rsidRPr="001C0949">
        <w:rPr>
          <w:rFonts w:eastAsia="Arial" w:cs="Arial"/>
          <w:kern w:val="0"/>
          <w:szCs w:val="24"/>
          <w14:ligatures w14:val="none"/>
        </w:rPr>
        <w:t xml:space="preserve">Sformułowanie </w:t>
      </w:r>
      <w:r w:rsidR="006005A5" w:rsidRPr="001C0949">
        <w:rPr>
          <w:rFonts w:eastAsia="Arial" w:cs="Arial"/>
          <w:kern w:val="0"/>
          <w:szCs w:val="24"/>
          <w14:ligatures w14:val="none"/>
        </w:rPr>
        <w:t xml:space="preserve">prawidłowych </w:t>
      </w:r>
      <w:r w:rsidR="005E07A6" w:rsidRPr="001C0949">
        <w:rPr>
          <w:rFonts w:eastAsia="Arial" w:cs="Arial"/>
          <w:kern w:val="0"/>
          <w:szCs w:val="24"/>
          <w14:ligatures w14:val="none"/>
        </w:rPr>
        <w:t>wniosków</w:t>
      </w:r>
      <w:r w:rsidR="00E94DAE" w:rsidRPr="001C0949">
        <w:rPr>
          <w:rFonts w:eastAsia="Arial" w:cs="Arial"/>
          <w:kern w:val="0"/>
          <w:szCs w:val="24"/>
          <w14:ligatures w14:val="none"/>
        </w:rPr>
        <w:t xml:space="preserve"> wymagał</w:t>
      </w:r>
      <w:r w:rsidR="00F3653E" w:rsidRPr="001C0949">
        <w:rPr>
          <w:rFonts w:eastAsia="Arial" w:cs="Arial"/>
          <w:kern w:val="0"/>
          <w:szCs w:val="24"/>
          <w14:ligatures w14:val="none"/>
        </w:rPr>
        <w:t>o oceny</w:t>
      </w:r>
      <w:r w:rsidR="005E07A6" w:rsidRPr="001C0949">
        <w:rPr>
          <w:rFonts w:eastAsia="Arial" w:cs="Arial"/>
          <w:kern w:val="0"/>
          <w:szCs w:val="24"/>
          <w14:ligatures w14:val="none"/>
        </w:rPr>
        <w:t xml:space="preserve"> tego</w:t>
      </w:r>
      <w:r w:rsidR="008C077C" w:rsidRPr="001C0949">
        <w:rPr>
          <w:rFonts w:eastAsia="Arial" w:cs="Arial"/>
          <w:kern w:val="0"/>
          <w:szCs w:val="24"/>
          <w14:ligatures w14:val="none"/>
        </w:rPr>
        <w:t xml:space="preserve">, czy podatnik </w:t>
      </w:r>
      <w:r w:rsidR="00316293" w:rsidRPr="001C0949">
        <w:rPr>
          <w:rFonts w:eastAsia="Arial" w:cs="Arial"/>
          <w:kern w:val="0"/>
          <w:szCs w:val="24"/>
          <w14:ligatures w14:val="none"/>
        </w:rPr>
        <w:t xml:space="preserve">dokonał czynności konwencjonalnej </w:t>
      </w:r>
      <w:r w:rsidR="005E07A6" w:rsidRPr="001C0949">
        <w:rPr>
          <w:rFonts w:eastAsia="Arial" w:cs="Arial"/>
          <w:kern w:val="0"/>
          <w:szCs w:val="24"/>
          <w14:ligatures w14:val="none"/>
        </w:rPr>
        <w:t>doniosłej prawnie</w:t>
      </w:r>
      <w:r w:rsidR="00821668" w:rsidRPr="001C0949">
        <w:rPr>
          <w:rStyle w:val="Odwoanieprzypisudolnego"/>
          <w:rFonts w:eastAsia="Arial" w:cs="Arial"/>
          <w:kern w:val="0"/>
          <w:szCs w:val="24"/>
          <w14:ligatures w14:val="none"/>
        </w:rPr>
        <w:footnoteReference w:id="5"/>
      </w:r>
      <w:r w:rsidR="006005A5" w:rsidRPr="001C0949">
        <w:rPr>
          <w:rFonts w:eastAsia="Arial" w:cs="Arial"/>
          <w:kern w:val="0"/>
          <w:szCs w:val="24"/>
          <w14:ligatures w14:val="none"/>
        </w:rPr>
        <w:t xml:space="preserve">. Norma </w:t>
      </w:r>
      <w:r w:rsidR="00CD4292" w:rsidRPr="001C0949">
        <w:rPr>
          <w:rFonts w:eastAsia="Arial" w:cs="Arial"/>
          <w:kern w:val="0"/>
          <w:szCs w:val="24"/>
          <w14:ligatures w14:val="none"/>
        </w:rPr>
        <w:t>kompetencyjna</w:t>
      </w:r>
      <w:r w:rsidR="006005A5" w:rsidRPr="001C0949">
        <w:rPr>
          <w:rFonts w:eastAsia="Arial" w:cs="Arial"/>
          <w:kern w:val="0"/>
          <w:szCs w:val="24"/>
          <w14:ligatures w14:val="none"/>
        </w:rPr>
        <w:t xml:space="preserve"> wynikająca z przepisu art. 9a ust. 2 </w:t>
      </w:r>
      <w:proofErr w:type="spellStart"/>
      <w:r w:rsidR="006005A5" w:rsidRPr="001C0949">
        <w:rPr>
          <w:rFonts w:eastAsia="Arial" w:cs="Arial"/>
          <w:kern w:val="0"/>
          <w:szCs w:val="24"/>
          <w14:ligatures w14:val="none"/>
        </w:rPr>
        <w:t>u.p.</w:t>
      </w:r>
      <w:r w:rsidR="000F3350" w:rsidRPr="001C0949">
        <w:rPr>
          <w:rFonts w:eastAsia="Arial" w:cs="Arial"/>
          <w:kern w:val="0"/>
          <w:szCs w:val="24"/>
          <w14:ligatures w14:val="none"/>
        </w:rPr>
        <w:t>d.o.f</w:t>
      </w:r>
      <w:proofErr w:type="spellEnd"/>
      <w:r w:rsidR="000F3350" w:rsidRPr="001C0949">
        <w:rPr>
          <w:rFonts w:eastAsia="Arial" w:cs="Arial"/>
          <w:kern w:val="0"/>
          <w:szCs w:val="24"/>
          <w14:ligatures w14:val="none"/>
        </w:rPr>
        <w:t xml:space="preserve">. </w:t>
      </w:r>
      <w:r w:rsidR="003D029B" w:rsidRPr="001C0949">
        <w:rPr>
          <w:rFonts w:eastAsia="Arial" w:cs="Arial"/>
          <w:kern w:val="0"/>
          <w:szCs w:val="24"/>
          <w14:ligatures w14:val="none"/>
        </w:rPr>
        <w:t xml:space="preserve">nakazuje podatnikowi złożenie oświadczenia o wyborze formy opodatkowania </w:t>
      </w:r>
      <w:r w:rsidR="00C82E49" w:rsidRPr="001C0949">
        <w:rPr>
          <w:rFonts w:eastAsia="Arial" w:cs="Arial"/>
          <w:kern w:val="0"/>
          <w:szCs w:val="24"/>
          <w14:ligatures w14:val="none"/>
        </w:rPr>
        <w:t xml:space="preserve">w odpowiedniej formie. </w:t>
      </w:r>
      <w:r w:rsidR="00556CCD" w:rsidRPr="001C0949">
        <w:rPr>
          <w:rFonts w:eastAsia="Arial" w:cs="Arial"/>
          <w:kern w:val="0"/>
          <w:szCs w:val="24"/>
          <w14:ligatures w14:val="none"/>
        </w:rPr>
        <w:t>Dopiero d</w:t>
      </w:r>
      <w:r w:rsidR="00C82E49" w:rsidRPr="001C0949">
        <w:rPr>
          <w:rFonts w:eastAsia="Arial" w:cs="Arial"/>
          <w:kern w:val="0"/>
          <w:szCs w:val="24"/>
          <w14:ligatures w14:val="none"/>
        </w:rPr>
        <w:t xml:space="preserve">okonanie czynności konwencjonalnej w odpowiedni sposób </w:t>
      </w:r>
      <w:r w:rsidR="003A3C04" w:rsidRPr="001C0949">
        <w:rPr>
          <w:rFonts w:eastAsia="Arial" w:cs="Arial"/>
          <w:kern w:val="0"/>
          <w:szCs w:val="24"/>
          <w14:ligatures w14:val="none"/>
        </w:rPr>
        <w:t xml:space="preserve">aktualizuje obowiązek </w:t>
      </w:r>
      <w:r w:rsidR="009453C7" w:rsidRPr="001C0949">
        <w:rPr>
          <w:rFonts w:eastAsia="Arial" w:cs="Arial"/>
          <w:kern w:val="0"/>
          <w:szCs w:val="24"/>
          <w14:ligatures w14:val="none"/>
        </w:rPr>
        <w:t xml:space="preserve">adresata normy kompetencyjnej, tj. organu podatkowego do </w:t>
      </w:r>
      <w:r w:rsidR="00DF090D" w:rsidRPr="001C0949">
        <w:rPr>
          <w:rFonts w:eastAsia="Arial" w:cs="Arial"/>
          <w:kern w:val="0"/>
          <w:szCs w:val="24"/>
          <w14:ligatures w14:val="none"/>
        </w:rPr>
        <w:t xml:space="preserve">zbadania złożonego oświadczenia woli i wymiaru podatku z </w:t>
      </w:r>
      <w:r w:rsidR="00216F7D" w:rsidRPr="001C0949">
        <w:rPr>
          <w:rFonts w:eastAsia="Arial" w:cs="Arial"/>
          <w:kern w:val="0"/>
          <w:szCs w:val="24"/>
          <w14:ligatures w14:val="none"/>
        </w:rPr>
        <w:t xml:space="preserve">zastosowaniem </w:t>
      </w:r>
      <w:r w:rsidR="00642C74" w:rsidRPr="001C0949">
        <w:rPr>
          <w:rFonts w:eastAsia="Arial" w:cs="Arial"/>
          <w:kern w:val="0"/>
          <w:szCs w:val="24"/>
          <w14:ligatures w14:val="none"/>
        </w:rPr>
        <w:t>stawki 19</w:t>
      </w:r>
      <w:r w:rsidR="00C84DFD" w:rsidRPr="001C0949">
        <w:rPr>
          <w:rFonts w:eastAsia="Arial" w:cs="Arial"/>
          <w:kern w:val="0"/>
          <w:szCs w:val="24"/>
          <w14:ligatures w14:val="none"/>
        </w:rPr>
        <w:t>%</w:t>
      </w:r>
      <w:r w:rsidR="006B27C5" w:rsidRPr="001C0949">
        <w:rPr>
          <w:rStyle w:val="Odwoanieprzypisudolnego"/>
          <w:rFonts w:eastAsia="Arial" w:cs="Arial"/>
          <w:kern w:val="0"/>
          <w:szCs w:val="24"/>
          <w14:ligatures w14:val="none"/>
        </w:rPr>
        <w:footnoteReference w:id="6"/>
      </w:r>
      <w:r w:rsidR="00C84DFD" w:rsidRPr="001C0949">
        <w:rPr>
          <w:rFonts w:eastAsia="Arial" w:cs="Arial"/>
          <w:kern w:val="0"/>
          <w:szCs w:val="24"/>
          <w14:ligatures w14:val="none"/>
        </w:rPr>
        <w:t>.</w:t>
      </w:r>
    </w:p>
    <w:p w14:paraId="13CC55CB" w14:textId="77777777" w:rsidR="00335774" w:rsidRPr="001C0949" w:rsidRDefault="00335774" w:rsidP="00C77BE9">
      <w:pPr>
        <w:spacing w:after="0" w:line="360" w:lineRule="auto"/>
        <w:jc w:val="both"/>
        <w:rPr>
          <w:rFonts w:eastAsia="Arial" w:cs="Arial"/>
          <w:kern w:val="0"/>
          <w:szCs w:val="24"/>
          <w14:ligatures w14:val="none"/>
        </w:rPr>
      </w:pPr>
    </w:p>
    <w:p w14:paraId="2DFE2902" w14:textId="1046136F" w:rsidR="003E3F10" w:rsidRPr="001C0949" w:rsidRDefault="004863A0" w:rsidP="00156920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1C0949">
        <w:rPr>
          <w:b/>
          <w:bCs/>
        </w:rPr>
        <w:t>Synteza stanu faktycznego</w:t>
      </w:r>
    </w:p>
    <w:p w14:paraId="2D73D3AA" w14:textId="016121C8" w:rsidR="003E3F10" w:rsidRPr="001C0949" w:rsidRDefault="003E3F10" w:rsidP="003E3F10">
      <w:pPr>
        <w:spacing w:after="0" w:line="360" w:lineRule="auto"/>
        <w:ind w:firstLine="360"/>
        <w:jc w:val="both"/>
      </w:pPr>
      <w:r w:rsidRPr="001C0949">
        <w:lastRenderedPageBreak/>
        <w:t>W stanie faktycznym, który</w:t>
      </w:r>
      <w:r w:rsidRPr="001C0949">
        <w:rPr>
          <w:b/>
          <w:bCs/>
        </w:rPr>
        <w:t xml:space="preserve"> </w:t>
      </w:r>
      <w:r w:rsidRPr="001C0949">
        <w:t xml:space="preserve">legł u podstaw </w:t>
      </w:r>
      <w:r w:rsidR="0030346F" w:rsidRPr="001C0949">
        <w:t xml:space="preserve">komentowanego </w:t>
      </w:r>
      <w:r w:rsidR="00C308A7" w:rsidRPr="001C0949">
        <w:t>orzeczenia</w:t>
      </w:r>
      <w:r w:rsidRPr="001C0949">
        <w:t xml:space="preserve">, podatnik wystąpił z wnioskiem o wydanie indywidualnej interpretacji przepisów prawa podatkowego w przedmiocie podatku dochodowego od osób fizycznych. </w:t>
      </w:r>
      <w:r w:rsidR="007F2AA2" w:rsidRPr="001C0949">
        <w:t>We wniosku o wydanie interpretacji podatnik wskazał, że na podstawie umowy darowizny przejął od żony udziały w spółce</w:t>
      </w:r>
      <w:r w:rsidR="002400FE" w:rsidRPr="001C0949">
        <w:t>,</w:t>
      </w:r>
      <w:r w:rsidR="007F2AA2" w:rsidRPr="001C0949">
        <w:t xml:space="preserve"> wskutek </w:t>
      </w:r>
      <w:r w:rsidR="002400FE" w:rsidRPr="001C0949">
        <w:t>czego</w:t>
      </w:r>
      <w:r w:rsidR="007F2AA2" w:rsidRPr="001C0949">
        <w:t xml:space="preserve"> stał się</w:t>
      </w:r>
      <w:r w:rsidR="00B252A3" w:rsidRPr="001C0949">
        <w:t xml:space="preserve"> jej</w:t>
      </w:r>
      <w:r w:rsidR="007F2AA2" w:rsidRPr="001C0949">
        <w:t xml:space="preserve"> komandytariuszem. Przedmiotem działalności spółki jest wynajem oraz zarządzanie nieruchomościami</w:t>
      </w:r>
      <w:r w:rsidR="006911CC" w:rsidRPr="001C0949">
        <w:t xml:space="preserve"> </w:t>
      </w:r>
      <w:r w:rsidR="007F2AA2" w:rsidRPr="001C0949">
        <w:t>zarówno własnymi, jak dzierżawionymi.</w:t>
      </w:r>
      <w:r w:rsidR="009D2F10" w:rsidRPr="001C0949">
        <w:t xml:space="preserve"> </w:t>
      </w:r>
      <w:r w:rsidR="00947C90" w:rsidRPr="001C0949">
        <w:t>Dotychczas żona</w:t>
      </w:r>
      <w:r w:rsidR="00BC5DAA" w:rsidRPr="001C0949">
        <w:t xml:space="preserve"> </w:t>
      </w:r>
      <w:r w:rsidR="007E2719" w:rsidRPr="001C0949">
        <w:t>wnioskodawcy</w:t>
      </w:r>
      <w:r w:rsidR="00F324A8" w:rsidRPr="001C0949">
        <w:t xml:space="preserve"> obliczała podatek z zastosowaniem stawki 19</w:t>
      </w:r>
      <w:r w:rsidR="00A8461D" w:rsidRPr="001C0949">
        <w:t>%</w:t>
      </w:r>
      <w:r w:rsidR="00947C90" w:rsidRPr="001C0949">
        <w:t xml:space="preserve">. Z uwagi na to, podatnik również skorzystał z możliwości </w:t>
      </w:r>
      <w:r w:rsidR="00116243" w:rsidRPr="001C0949">
        <w:t>opodatkowania według skali proporcjonalnej</w:t>
      </w:r>
      <w:r w:rsidR="007E2719" w:rsidRPr="001C0949">
        <w:t xml:space="preserve"> i </w:t>
      </w:r>
      <w:r w:rsidR="00865F9D" w:rsidRPr="001C0949">
        <w:t xml:space="preserve">opłacał </w:t>
      </w:r>
      <w:r w:rsidR="00271BEC" w:rsidRPr="001C0949">
        <w:t>zaliczki na podatek dochodowy</w:t>
      </w:r>
      <w:r w:rsidR="00FF107F" w:rsidRPr="001C0949">
        <w:t>,</w:t>
      </w:r>
      <w:r w:rsidR="00271BEC" w:rsidRPr="001C0949">
        <w:t xml:space="preserve"> przyjmując </w:t>
      </w:r>
      <w:r w:rsidR="00AB39C8" w:rsidRPr="001C0949">
        <w:t xml:space="preserve">stawkę </w:t>
      </w:r>
      <w:r w:rsidR="00271BEC" w:rsidRPr="001C0949">
        <w:t>19%</w:t>
      </w:r>
      <w:r w:rsidR="00D25439" w:rsidRPr="001C0949">
        <w:t xml:space="preserve">. </w:t>
      </w:r>
      <w:r w:rsidR="00AB39C8" w:rsidRPr="001C0949">
        <w:t>Należy zaznaczyć, że p</w:t>
      </w:r>
      <w:r w:rsidR="00D25439" w:rsidRPr="001C0949">
        <w:t xml:space="preserve">odatnik </w:t>
      </w:r>
      <w:r w:rsidR="006169CD" w:rsidRPr="001C0949">
        <w:t xml:space="preserve">w treści tytułu </w:t>
      </w:r>
      <w:r w:rsidR="00811B38" w:rsidRPr="001C0949">
        <w:t xml:space="preserve">polecenia </w:t>
      </w:r>
      <w:r w:rsidR="006169CD" w:rsidRPr="001C0949">
        <w:t>przelewu wskazywał na</w:t>
      </w:r>
      <w:r w:rsidR="004E0CCC" w:rsidRPr="001C0949">
        <w:t xml:space="preserve"> uiszczenie zaliczek na podatek PIT-36L. </w:t>
      </w:r>
      <w:r w:rsidR="009349DC" w:rsidRPr="001C0949">
        <w:t>Zdaniem wnioskodawcy oświadczenie woli</w:t>
      </w:r>
      <w:r w:rsidR="00E46DA4" w:rsidRPr="001C0949">
        <w:t xml:space="preserve"> złożone w ten sposób</w:t>
      </w:r>
      <w:r w:rsidR="009349DC" w:rsidRPr="001C0949">
        <w:t xml:space="preserve"> czyni zadość </w:t>
      </w:r>
      <w:r w:rsidR="00AF4EF2" w:rsidRPr="001C0949">
        <w:t xml:space="preserve">wymogom </w:t>
      </w:r>
      <w:r w:rsidR="00E46DA4" w:rsidRPr="001C0949">
        <w:t>wynikającym z</w:t>
      </w:r>
      <w:r w:rsidR="00AF4EF2" w:rsidRPr="001C0949">
        <w:t xml:space="preserve"> art. 9a ust. 2 </w:t>
      </w:r>
      <w:proofErr w:type="spellStart"/>
      <w:r w:rsidR="00AF4EF2" w:rsidRPr="001C0949">
        <w:t>u.</w:t>
      </w:r>
      <w:r w:rsidR="00F72721" w:rsidRPr="001C0949">
        <w:t>p.d.o.</w:t>
      </w:r>
      <w:r w:rsidR="00AF4EF2" w:rsidRPr="001C0949">
        <w:t>f</w:t>
      </w:r>
      <w:proofErr w:type="spellEnd"/>
      <w:r w:rsidR="00F72721" w:rsidRPr="001C0949">
        <w:t>.</w:t>
      </w:r>
      <w:r w:rsidR="00AF4EF2" w:rsidRPr="001C0949">
        <w:t xml:space="preserve"> </w:t>
      </w:r>
      <w:r w:rsidR="00236A78" w:rsidRPr="001C0949">
        <w:t>Ponadto w</w:t>
      </w:r>
      <w:r w:rsidR="003A62A0" w:rsidRPr="001C0949">
        <w:t xml:space="preserve">nioskodawca </w:t>
      </w:r>
      <w:r w:rsidR="0008707D" w:rsidRPr="001C0949">
        <w:t>wskazał</w:t>
      </w:r>
      <w:r w:rsidR="003A62A0" w:rsidRPr="001C0949">
        <w:t>, że przepisy ustawy o podatku dochodow</w:t>
      </w:r>
      <w:r w:rsidR="008F44D5" w:rsidRPr="001C0949">
        <w:t>ym od osób fizycznych</w:t>
      </w:r>
      <w:r w:rsidR="003A62A0" w:rsidRPr="001C0949">
        <w:t xml:space="preserve"> nie </w:t>
      </w:r>
      <w:r w:rsidR="004274EA" w:rsidRPr="001C0949">
        <w:t xml:space="preserve">przewidują </w:t>
      </w:r>
      <w:r w:rsidR="008F44D5" w:rsidRPr="001C0949">
        <w:t xml:space="preserve">wymogu </w:t>
      </w:r>
      <w:r w:rsidR="004274EA" w:rsidRPr="001C0949">
        <w:t>złożenia oświadczenia na specjalny</w:t>
      </w:r>
      <w:r w:rsidR="00071882" w:rsidRPr="001C0949">
        <w:t>m</w:t>
      </w:r>
      <w:r w:rsidR="004274EA" w:rsidRPr="001C0949">
        <w:t xml:space="preserve"> formularzu urzędowym</w:t>
      </w:r>
      <w:r w:rsidR="003A552D" w:rsidRPr="001C0949">
        <w:t>, w</w:t>
      </w:r>
      <w:r w:rsidR="002929C6" w:rsidRPr="001C0949">
        <w:t>obec</w:t>
      </w:r>
      <w:r w:rsidR="003A552D" w:rsidRPr="001C0949">
        <w:t xml:space="preserve"> czego </w:t>
      </w:r>
      <w:r w:rsidR="004274EA" w:rsidRPr="001C0949">
        <w:t xml:space="preserve">złożenie </w:t>
      </w:r>
      <w:r w:rsidR="002929C6" w:rsidRPr="001C0949">
        <w:t xml:space="preserve">oświadczenia </w:t>
      </w:r>
      <w:r w:rsidR="00354917" w:rsidRPr="001C0949">
        <w:t>w treści tytułu</w:t>
      </w:r>
      <w:r w:rsidR="00BB35F4" w:rsidRPr="001C0949">
        <w:t xml:space="preserve"> polecenia </w:t>
      </w:r>
      <w:r w:rsidR="00B74F91" w:rsidRPr="001C0949">
        <w:t>przele</w:t>
      </w:r>
      <w:r w:rsidR="00BB35F4" w:rsidRPr="001C0949">
        <w:t>wu</w:t>
      </w:r>
      <w:r w:rsidR="00B74F91" w:rsidRPr="001C0949">
        <w:t xml:space="preserve"> bankow</w:t>
      </w:r>
      <w:r w:rsidR="00BB35F4" w:rsidRPr="001C0949">
        <w:t xml:space="preserve">ego </w:t>
      </w:r>
      <w:r w:rsidR="00B74F91" w:rsidRPr="001C0949">
        <w:t xml:space="preserve">jest </w:t>
      </w:r>
      <w:r w:rsidR="0015237D" w:rsidRPr="001C0949">
        <w:t xml:space="preserve">w pełni </w:t>
      </w:r>
      <w:r w:rsidR="00B74F91" w:rsidRPr="001C0949">
        <w:t xml:space="preserve">wystarczające. </w:t>
      </w:r>
    </w:p>
    <w:p w14:paraId="1F32A15D" w14:textId="18D9F7BD" w:rsidR="00FD49B8" w:rsidRPr="001C0949" w:rsidRDefault="00C61B02" w:rsidP="00263BB6">
      <w:pPr>
        <w:spacing w:after="0" w:line="360" w:lineRule="auto"/>
        <w:ind w:firstLine="360"/>
        <w:jc w:val="both"/>
      </w:pPr>
      <w:r w:rsidRPr="001C0949">
        <w:t xml:space="preserve">Dyrektor </w:t>
      </w:r>
      <w:r w:rsidR="00940588" w:rsidRPr="001C0949">
        <w:t>Krajowej Informacji</w:t>
      </w:r>
      <w:r w:rsidRPr="001C0949">
        <w:t xml:space="preserve"> Skarbowej</w:t>
      </w:r>
      <w:r w:rsidR="00D74F0A" w:rsidRPr="001C0949">
        <w:rPr>
          <w:rStyle w:val="Odwoanieprzypisudolnego"/>
        </w:rPr>
        <w:footnoteReference w:id="7"/>
      </w:r>
      <w:r w:rsidR="00BD3737" w:rsidRPr="001C0949">
        <w:t> </w:t>
      </w:r>
      <w:r w:rsidRPr="001C0949">
        <w:t>uznał stanowisko podatnika za nieprawidłowe</w:t>
      </w:r>
      <w:r w:rsidR="00263BB6" w:rsidRPr="001C0949">
        <w:t xml:space="preserve">. </w:t>
      </w:r>
      <w:r w:rsidR="00263F60" w:rsidRPr="001C0949">
        <w:t>O</w:t>
      </w:r>
      <w:r w:rsidR="002A7230" w:rsidRPr="001C0949">
        <w:t>rgan</w:t>
      </w:r>
      <w:r w:rsidR="00215FFB" w:rsidRPr="001C0949">
        <w:t xml:space="preserve"> interpretacyjny</w:t>
      </w:r>
      <w:r w:rsidR="005E3678" w:rsidRPr="001C0949">
        <w:t xml:space="preserve"> </w:t>
      </w:r>
      <w:r w:rsidR="002A7230" w:rsidRPr="001C0949">
        <w:t xml:space="preserve">nie </w:t>
      </w:r>
      <w:r w:rsidR="00575ED8" w:rsidRPr="001C0949">
        <w:t>za</w:t>
      </w:r>
      <w:r w:rsidR="002A7230" w:rsidRPr="001C0949">
        <w:t xml:space="preserve">kwestionował </w:t>
      </w:r>
      <w:r w:rsidR="00A30479" w:rsidRPr="001C0949">
        <w:t xml:space="preserve">co prawda </w:t>
      </w:r>
      <w:r w:rsidR="00325AC6" w:rsidRPr="001C0949">
        <w:t>faktu osiągania przez podatnika</w:t>
      </w:r>
      <w:r w:rsidR="00071882" w:rsidRPr="001C0949">
        <w:t xml:space="preserve"> dochodów</w:t>
      </w:r>
      <w:r w:rsidR="002A7230" w:rsidRPr="001C0949">
        <w:t xml:space="preserve"> z pozarolniczej działalności gospodarczej</w:t>
      </w:r>
      <w:r w:rsidR="00263F60" w:rsidRPr="001C0949">
        <w:t xml:space="preserve"> </w:t>
      </w:r>
      <w:r w:rsidR="00325AC6" w:rsidRPr="001C0949">
        <w:t xml:space="preserve">i </w:t>
      </w:r>
      <w:r w:rsidR="00017C2C" w:rsidRPr="001C0949">
        <w:t>możliwoś</w:t>
      </w:r>
      <w:r w:rsidR="00325AC6" w:rsidRPr="001C0949">
        <w:t>ci</w:t>
      </w:r>
      <w:r w:rsidR="00017C2C" w:rsidRPr="001C0949">
        <w:t xml:space="preserve"> opodatkowania</w:t>
      </w:r>
      <w:r w:rsidR="00325AC6" w:rsidRPr="001C0949">
        <w:t xml:space="preserve"> i</w:t>
      </w:r>
      <w:r w:rsidR="00017C2C" w:rsidRPr="001C0949">
        <w:t xml:space="preserve">ch </w:t>
      </w:r>
      <w:r w:rsidR="0090666D" w:rsidRPr="001C0949">
        <w:t>z zastosowaniem stawki 19%.</w:t>
      </w:r>
      <w:r w:rsidR="00017C2C" w:rsidRPr="001C0949">
        <w:t xml:space="preserve"> </w:t>
      </w:r>
      <w:r w:rsidR="00A30479" w:rsidRPr="001C0949">
        <w:t>Jednak w wydanej</w:t>
      </w:r>
      <w:r w:rsidR="00570EFE" w:rsidRPr="001C0949">
        <w:t xml:space="preserve"> interpretacji przepisów prawa podatkowego </w:t>
      </w:r>
      <w:r w:rsidR="00CB7291" w:rsidRPr="001C0949">
        <w:t>podważ</w:t>
      </w:r>
      <w:r w:rsidR="004A7CAB" w:rsidRPr="001C0949">
        <w:t>ył</w:t>
      </w:r>
      <w:r w:rsidR="00CB7291" w:rsidRPr="001C0949">
        <w:t xml:space="preserve"> s</w:t>
      </w:r>
      <w:r w:rsidR="00575ED8" w:rsidRPr="001C0949">
        <w:t>kutecznoś</w:t>
      </w:r>
      <w:r w:rsidR="00CB7291" w:rsidRPr="001C0949">
        <w:t xml:space="preserve">ć </w:t>
      </w:r>
      <w:r w:rsidR="00FD528A" w:rsidRPr="001C0949">
        <w:t xml:space="preserve">dokonania </w:t>
      </w:r>
      <w:r w:rsidR="00575ED8" w:rsidRPr="001C0949">
        <w:t xml:space="preserve">wyboru </w:t>
      </w:r>
      <w:r w:rsidR="00354917" w:rsidRPr="001C0949">
        <w:t xml:space="preserve">formy </w:t>
      </w:r>
      <w:r w:rsidR="00575ED8" w:rsidRPr="001C0949">
        <w:t xml:space="preserve">opodatkowania. </w:t>
      </w:r>
      <w:r w:rsidRPr="001C0949">
        <w:t xml:space="preserve">Zdaniem organu interpretacyjnego dokonanie przez podatnika przelewu środków tytułem „zaliczki na podatek dochodowy PIT-36L” nie stanowi oświadczenia, o którym mowa w art. 9a </w:t>
      </w:r>
      <w:r w:rsidR="00071882" w:rsidRPr="001C0949">
        <w:t xml:space="preserve">ust. 2 </w:t>
      </w:r>
      <w:proofErr w:type="spellStart"/>
      <w:r w:rsidRPr="001C0949">
        <w:t>u.p.d.o.f</w:t>
      </w:r>
      <w:proofErr w:type="spellEnd"/>
      <w:r w:rsidRPr="001C0949">
        <w:t xml:space="preserve">. </w:t>
      </w:r>
    </w:p>
    <w:p w14:paraId="66947DB9" w14:textId="458129DB" w:rsidR="00E26F89" w:rsidRPr="001C0949" w:rsidRDefault="00C61B02" w:rsidP="00E26F89">
      <w:pPr>
        <w:spacing w:after="0" w:line="360" w:lineRule="auto"/>
        <w:ind w:firstLine="360"/>
        <w:jc w:val="both"/>
      </w:pPr>
      <w:r w:rsidRPr="001C0949">
        <w:t>Indywidualna interpretacja przepisów prawa podatkowego została zaskarżona do sądu administracyjnego.</w:t>
      </w:r>
      <w:r w:rsidR="00B90DCA" w:rsidRPr="001C0949">
        <w:t xml:space="preserve"> Wojewódzki Sąd Administracyjny</w:t>
      </w:r>
      <w:r w:rsidR="00E13739" w:rsidRPr="001C0949">
        <w:rPr>
          <w:rStyle w:val="Odwoanieprzypisudolnego"/>
        </w:rPr>
        <w:footnoteReference w:id="8"/>
      </w:r>
      <w:r w:rsidR="00B90DCA" w:rsidRPr="001C0949">
        <w:t xml:space="preserve"> w Szczecinie w wyroku z 13.01.2021 </w:t>
      </w:r>
      <w:proofErr w:type="gramStart"/>
      <w:r w:rsidR="00B90DCA" w:rsidRPr="001C0949">
        <w:t>r.,</w:t>
      </w:r>
      <w:proofErr w:type="gramEnd"/>
      <w:r w:rsidR="00B90DCA" w:rsidRPr="001C0949">
        <w:t xml:space="preserve"> I SA/</w:t>
      </w:r>
      <w:proofErr w:type="spellStart"/>
      <w:r w:rsidR="00B90DCA" w:rsidRPr="001C0949">
        <w:t>Sz</w:t>
      </w:r>
      <w:proofErr w:type="spellEnd"/>
      <w:r w:rsidR="00B90DCA" w:rsidRPr="001C0949">
        <w:t xml:space="preserve"> 696/20 oddalił </w:t>
      </w:r>
      <w:r w:rsidR="00D91E61" w:rsidRPr="001C0949">
        <w:t xml:space="preserve">wniesioną przez podatnika </w:t>
      </w:r>
      <w:r w:rsidR="00B90DCA" w:rsidRPr="001C0949">
        <w:t>skargę.</w:t>
      </w:r>
      <w:r w:rsidR="006A3326" w:rsidRPr="001C0949">
        <w:t xml:space="preserve"> W uzasadnieniu wyroku </w:t>
      </w:r>
      <w:r w:rsidR="0022325B" w:rsidRPr="001C0949">
        <w:t>s</w:t>
      </w:r>
      <w:r w:rsidR="006A3326" w:rsidRPr="001C0949">
        <w:t xml:space="preserve">ąd I </w:t>
      </w:r>
      <w:r w:rsidR="00CC62F4" w:rsidRPr="001C0949">
        <w:t xml:space="preserve">instancji wskazał, że polecenie przelewu jest </w:t>
      </w:r>
      <w:r w:rsidR="007F55D7" w:rsidRPr="001C0949">
        <w:t xml:space="preserve">jedną z form bezgotówkowych rozliczeń pieniężnych. </w:t>
      </w:r>
      <w:r w:rsidR="00856868" w:rsidRPr="001C0949">
        <w:t>Polecenie przelewu</w:t>
      </w:r>
      <w:r w:rsidR="00E13739" w:rsidRPr="001C0949">
        <w:t xml:space="preserve"> w</w:t>
      </w:r>
      <w:r w:rsidR="00FB5B72" w:rsidRPr="001C0949">
        <w:t xml:space="preserve"> istocie stanowi </w:t>
      </w:r>
      <w:r w:rsidR="004A1D64" w:rsidRPr="001C0949">
        <w:t>wydaną bankowi dyspozycję przekazania określonej kwoty</w:t>
      </w:r>
      <w:r w:rsidR="00A813BF" w:rsidRPr="001C0949">
        <w:t xml:space="preserve"> z rachunku bankowego płatnika na wskazany przez niego inny rachunek płatniczy odbiorcy. </w:t>
      </w:r>
      <w:r w:rsidR="00E13739" w:rsidRPr="001C0949">
        <w:t>Mając to na uwadze</w:t>
      </w:r>
      <w:r w:rsidR="00C5320D" w:rsidRPr="001C0949">
        <w:t>,</w:t>
      </w:r>
      <w:r w:rsidR="004A11A1" w:rsidRPr="001C0949">
        <w:t xml:space="preserve"> </w:t>
      </w:r>
      <w:r w:rsidR="00E13739" w:rsidRPr="001C0949">
        <w:t xml:space="preserve">WSA </w:t>
      </w:r>
      <w:r w:rsidR="00E13739" w:rsidRPr="001C0949">
        <w:lastRenderedPageBreak/>
        <w:t>uznał, że</w:t>
      </w:r>
      <w:r w:rsidR="003C1273" w:rsidRPr="001C0949">
        <w:t xml:space="preserve"> </w:t>
      </w:r>
      <w:r w:rsidR="0049588C" w:rsidRPr="001C0949">
        <w:t>poleceni</w:t>
      </w:r>
      <w:r w:rsidR="008D5510" w:rsidRPr="001C0949">
        <w:t>e</w:t>
      </w:r>
      <w:r w:rsidR="0049588C" w:rsidRPr="001C0949">
        <w:t xml:space="preserve"> przelewu </w:t>
      </w:r>
      <w:r w:rsidR="005C7E5B" w:rsidRPr="001C0949">
        <w:t xml:space="preserve">nie </w:t>
      </w:r>
      <w:r w:rsidR="003A70FF" w:rsidRPr="001C0949">
        <w:t xml:space="preserve">stanowi pisemnego oświadczenia, o którym mowa w art. 9a ust. 2 </w:t>
      </w:r>
      <w:proofErr w:type="spellStart"/>
      <w:r w:rsidR="003A70FF" w:rsidRPr="001C0949">
        <w:t>u.p.d.o.f</w:t>
      </w:r>
      <w:proofErr w:type="spellEnd"/>
      <w:r w:rsidR="003A70FF" w:rsidRPr="001C0949">
        <w:t>.</w:t>
      </w:r>
      <w:r w:rsidR="005C7E5B" w:rsidRPr="001C0949">
        <w:t xml:space="preserve"> </w:t>
      </w:r>
      <w:r w:rsidR="00015375" w:rsidRPr="001C0949">
        <w:t>Zgodnie z tym przepisem o</w:t>
      </w:r>
      <w:r w:rsidR="00514A7F" w:rsidRPr="001C0949">
        <w:t>świadczenie</w:t>
      </w:r>
      <w:r w:rsidR="003A70FF" w:rsidRPr="001C0949">
        <w:t xml:space="preserve"> </w:t>
      </w:r>
      <w:r w:rsidR="00BE3839" w:rsidRPr="001C0949">
        <w:t xml:space="preserve">powinno być </w:t>
      </w:r>
      <w:r w:rsidR="00ED4299" w:rsidRPr="001C0949">
        <w:t xml:space="preserve">podpisane </w:t>
      </w:r>
      <w:r w:rsidR="008B0093" w:rsidRPr="001C0949">
        <w:t xml:space="preserve">przez podatnika i </w:t>
      </w:r>
      <w:r w:rsidR="00BE3839" w:rsidRPr="001C0949">
        <w:t>zaadresowane do</w:t>
      </w:r>
      <w:r w:rsidR="0006599A" w:rsidRPr="001C0949">
        <w:t xml:space="preserve"> właściwego miejscowo</w:t>
      </w:r>
      <w:r w:rsidR="00BE3839" w:rsidRPr="001C0949">
        <w:t xml:space="preserve"> naczelnika urzędu skarboweg</w:t>
      </w:r>
      <w:r w:rsidR="00DA4A81" w:rsidRPr="001C0949">
        <w:t xml:space="preserve">o. </w:t>
      </w:r>
      <w:r w:rsidR="003A7511" w:rsidRPr="001C0949">
        <w:t>P</w:t>
      </w:r>
      <w:r w:rsidR="00DA4A81" w:rsidRPr="001C0949">
        <w:t xml:space="preserve">olecenie przelewu jest </w:t>
      </w:r>
      <w:r w:rsidR="003A7511" w:rsidRPr="001C0949">
        <w:t xml:space="preserve">natomiast </w:t>
      </w:r>
      <w:r w:rsidR="00DA4A81" w:rsidRPr="001C0949">
        <w:t xml:space="preserve">dyspozycją skierowaną </w:t>
      </w:r>
      <w:r w:rsidR="00636BD9" w:rsidRPr="001C0949">
        <w:t xml:space="preserve">do banku a nie organu podatkowego. </w:t>
      </w:r>
      <w:r w:rsidR="004A11A1" w:rsidRPr="001C0949">
        <w:t xml:space="preserve">Ponadto oświadczenie powinno spełniać </w:t>
      </w:r>
      <w:r w:rsidR="003A7511" w:rsidRPr="001C0949">
        <w:t>określone w Ordynacji podatkowej</w:t>
      </w:r>
      <w:r w:rsidR="002756AD" w:rsidRPr="001C0949">
        <w:rPr>
          <w:rStyle w:val="Odwoanieprzypisudolnego"/>
        </w:rPr>
        <w:footnoteReference w:id="9"/>
      </w:r>
      <w:r w:rsidR="003A7511" w:rsidRPr="001C0949">
        <w:t xml:space="preserve"> wy</w:t>
      </w:r>
      <w:r w:rsidR="002756AD" w:rsidRPr="001C0949">
        <w:t xml:space="preserve">mogi formalne </w:t>
      </w:r>
      <w:r w:rsidR="00AB2AD6" w:rsidRPr="001C0949">
        <w:t xml:space="preserve">właściwe dla </w:t>
      </w:r>
      <w:r w:rsidR="003D2934" w:rsidRPr="001C0949">
        <w:t xml:space="preserve">każdego </w:t>
      </w:r>
      <w:r w:rsidR="00AB2AD6" w:rsidRPr="001C0949">
        <w:t>podania</w:t>
      </w:r>
      <w:r w:rsidR="002756AD" w:rsidRPr="001C0949">
        <w:t>.</w:t>
      </w:r>
      <w:r w:rsidR="008B0093" w:rsidRPr="001C0949">
        <w:t xml:space="preserve"> </w:t>
      </w:r>
      <w:r w:rsidR="002E0725" w:rsidRPr="001C0949">
        <w:t>Wojewódzki Sąd Administracyjny</w:t>
      </w:r>
      <w:r w:rsidR="008C33E0" w:rsidRPr="001C0949">
        <w:t xml:space="preserve"> </w:t>
      </w:r>
      <w:r w:rsidR="00335774" w:rsidRPr="001C0949">
        <w:t xml:space="preserve">w Szczecinie </w:t>
      </w:r>
      <w:r w:rsidR="00662780" w:rsidRPr="001C0949">
        <w:t xml:space="preserve">nie zgodził się również ze stanowiskiem </w:t>
      </w:r>
      <w:r w:rsidR="00234D6A" w:rsidRPr="001C0949">
        <w:t>zainteresow</w:t>
      </w:r>
      <w:r w:rsidR="00662780" w:rsidRPr="001C0949">
        <w:t>a</w:t>
      </w:r>
      <w:r w:rsidR="00234D6A" w:rsidRPr="001C0949">
        <w:t>nego</w:t>
      </w:r>
      <w:r w:rsidR="00662780" w:rsidRPr="001C0949">
        <w:t xml:space="preserve">, zgodnie z którym </w:t>
      </w:r>
      <w:r w:rsidR="00923770" w:rsidRPr="001C0949">
        <w:t>Dyrektor KIS dokonując interpretacji przepisów prawnych</w:t>
      </w:r>
      <w:r w:rsidR="00F870E3" w:rsidRPr="001C0949">
        <w:t>,</w:t>
      </w:r>
      <w:r w:rsidR="00923770" w:rsidRPr="001C0949">
        <w:t xml:space="preserve"> naruszył </w:t>
      </w:r>
      <w:r w:rsidR="009D363C" w:rsidRPr="001C0949">
        <w:t xml:space="preserve">przepis </w:t>
      </w:r>
      <w:r w:rsidR="00352EEF" w:rsidRPr="001C0949">
        <w:t xml:space="preserve">art. 2a </w:t>
      </w:r>
      <w:proofErr w:type="spellStart"/>
      <w:r w:rsidR="00352EEF" w:rsidRPr="001C0949">
        <w:t>o.p</w:t>
      </w:r>
      <w:proofErr w:type="spellEnd"/>
      <w:r w:rsidR="00352EEF" w:rsidRPr="001C0949">
        <w:t xml:space="preserve">. </w:t>
      </w:r>
      <w:r w:rsidR="00D74F0A" w:rsidRPr="001C0949">
        <w:t>normujący</w:t>
      </w:r>
      <w:r w:rsidR="00352EEF" w:rsidRPr="001C0949">
        <w:t xml:space="preserve"> zasadę </w:t>
      </w:r>
      <w:r w:rsidR="00D74F0A" w:rsidRPr="001C0949">
        <w:rPr>
          <w:i/>
          <w:iCs/>
        </w:rPr>
        <w:t xml:space="preserve">in dubio pro </w:t>
      </w:r>
      <w:proofErr w:type="spellStart"/>
      <w:r w:rsidR="00D74F0A" w:rsidRPr="001C0949">
        <w:rPr>
          <w:i/>
          <w:iCs/>
        </w:rPr>
        <w:t>tributario</w:t>
      </w:r>
      <w:proofErr w:type="spellEnd"/>
      <w:r w:rsidR="00D74F0A" w:rsidRPr="001C0949">
        <w:t xml:space="preserve">. </w:t>
      </w:r>
      <w:r w:rsidR="00C47EB5" w:rsidRPr="001C0949">
        <w:t xml:space="preserve">Sąd I instancji uznał, że </w:t>
      </w:r>
      <w:r w:rsidR="00F07A14" w:rsidRPr="001C0949">
        <w:t xml:space="preserve">wspomniany przepis prawny nie znajduje zastosowania w </w:t>
      </w:r>
      <w:r w:rsidR="00467D6B" w:rsidRPr="001C0949">
        <w:t xml:space="preserve">analizowanej </w:t>
      </w:r>
      <w:r w:rsidR="00F07A14" w:rsidRPr="001C0949">
        <w:t xml:space="preserve">sprawie. </w:t>
      </w:r>
    </w:p>
    <w:p w14:paraId="1900728E" w14:textId="41AC3D58" w:rsidR="00E26F89" w:rsidRPr="001C0949" w:rsidRDefault="00AB6C3C" w:rsidP="001304CA">
      <w:pPr>
        <w:spacing w:after="0" w:line="360" w:lineRule="auto"/>
        <w:ind w:firstLine="360"/>
        <w:jc w:val="both"/>
      </w:pPr>
      <w:r w:rsidRPr="001C0949">
        <w:t xml:space="preserve">Wyrok </w:t>
      </w:r>
      <w:r w:rsidR="00677F93" w:rsidRPr="001C0949">
        <w:t>WSA</w:t>
      </w:r>
      <w:r w:rsidR="00335774" w:rsidRPr="001C0949">
        <w:t xml:space="preserve"> w Szczecinie</w:t>
      </w:r>
      <w:r w:rsidR="00677F93" w:rsidRPr="001C0949">
        <w:t xml:space="preserve"> </w:t>
      </w:r>
      <w:r w:rsidRPr="001C0949">
        <w:t xml:space="preserve">został zaskarżony przez </w:t>
      </w:r>
      <w:r w:rsidR="00A63EF5" w:rsidRPr="001C0949">
        <w:t>zainteresow</w:t>
      </w:r>
      <w:r w:rsidRPr="001C0949">
        <w:t>a</w:t>
      </w:r>
      <w:r w:rsidR="00A63EF5" w:rsidRPr="001C0949">
        <w:t>nego</w:t>
      </w:r>
      <w:r w:rsidRPr="001C0949">
        <w:t xml:space="preserve">. </w:t>
      </w:r>
      <w:r w:rsidR="00E26F89" w:rsidRPr="001C0949">
        <w:t xml:space="preserve">W skardze kasacyjnej zarzucono naruszenie prawa materialnego polegające na błędnej wykładni przepisu art. </w:t>
      </w:r>
      <w:r w:rsidR="004D06D3" w:rsidRPr="001C0949">
        <w:t xml:space="preserve">9a ust. 2 </w:t>
      </w:r>
      <w:proofErr w:type="spellStart"/>
      <w:r w:rsidR="004D06D3" w:rsidRPr="001C0949">
        <w:t>u.p.d.o.f</w:t>
      </w:r>
      <w:proofErr w:type="spellEnd"/>
      <w:r w:rsidR="004D06D3" w:rsidRPr="001C0949">
        <w:t xml:space="preserve">. poprzez nieprawidłowe uznanie, że złożone przez skarżącego oświadczenie nie spełnia warunków oświadczenia o wyborze </w:t>
      </w:r>
      <w:r w:rsidR="00614D51" w:rsidRPr="001C0949">
        <w:t xml:space="preserve">formy </w:t>
      </w:r>
      <w:r w:rsidR="004D06D3" w:rsidRPr="001C0949">
        <w:t xml:space="preserve">opodatkowania </w:t>
      </w:r>
      <w:r w:rsidR="0070129F" w:rsidRPr="001C0949">
        <w:t xml:space="preserve">w rozumieniu tego </w:t>
      </w:r>
      <w:r w:rsidR="004D06D3" w:rsidRPr="001C0949">
        <w:t>przepis</w:t>
      </w:r>
      <w:r w:rsidR="0070129F" w:rsidRPr="001C0949">
        <w:t xml:space="preserve">u. Ponadto </w:t>
      </w:r>
      <w:r w:rsidR="00A91D2C" w:rsidRPr="001C0949">
        <w:t>w skardze zarzucono</w:t>
      </w:r>
      <w:r w:rsidR="00D83535" w:rsidRPr="001C0949">
        <w:t xml:space="preserve">, że </w:t>
      </w:r>
      <w:r w:rsidR="00712C71" w:rsidRPr="001C0949">
        <w:t>organ interpretacyjny</w:t>
      </w:r>
      <w:r w:rsidR="00F40897" w:rsidRPr="001C0949">
        <w:t xml:space="preserve"> </w:t>
      </w:r>
      <w:r w:rsidR="00D83535" w:rsidRPr="001C0949">
        <w:t xml:space="preserve">dokonał </w:t>
      </w:r>
      <w:r w:rsidR="00306581" w:rsidRPr="001C0949">
        <w:t>w</w:t>
      </w:r>
      <w:r w:rsidR="00712C71" w:rsidRPr="001C0949">
        <w:t xml:space="preserve">ykładni </w:t>
      </w:r>
      <w:r w:rsidR="00F40897" w:rsidRPr="001C0949">
        <w:t xml:space="preserve">przepisów podatkowych </w:t>
      </w:r>
      <w:r w:rsidR="008805F5" w:rsidRPr="001C0949">
        <w:t xml:space="preserve">z pominięciem </w:t>
      </w:r>
      <w:r w:rsidR="00434D52" w:rsidRPr="001C0949">
        <w:t xml:space="preserve">przepisu </w:t>
      </w:r>
      <w:r w:rsidR="00306581" w:rsidRPr="001C0949">
        <w:t xml:space="preserve">art. 2a </w:t>
      </w:r>
      <w:proofErr w:type="spellStart"/>
      <w:r w:rsidR="00306581" w:rsidRPr="001C0949">
        <w:t>o.p</w:t>
      </w:r>
      <w:proofErr w:type="spellEnd"/>
      <w:r w:rsidR="00306581" w:rsidRPr="001C0949">
        <w:t>.</w:t>
      </w:r>
      <w:r w:rsidR="008805F5" w:rsidRPr="001C0949">
        <w:t xml:space="preserve"> i wynikającej z niego zasady rozstrzygania </w:t>
      </w:r>
      <w:r w:rsidR="00EB3D89" w:rsidRPr="001C0949">
        <w:t>wątpliwości interpretacyjnych na korzyść podatnika.</w:t>
      </w:r>
      <w:r w:rsidR="00F40897" w:rsidRPr="001C0949">
        <w:t xml:space="preserve"> </w:t>
      </w:r>
      <w:r w:rsidR="00E26F89" w:rsidRPr="001C0949">
        <w:t>W odpowiedzi na skargę kasacyjną wniesiono o jej oddalenie.</w:t>
      </w:r>
    </w:p>
    <w:p w14:paraId="085A2814" w14:textId="77777777" w:rsidR="00920DCA" w:rsidRPr="001C0949" w:rsidRDefault="00920DCA" w:rsidP="00920DCA">
      <w:pPr>
        <w:pStyle w:val="Akapitzlist"/>
        <w:spacing w:after="0" w:line="360" w:lineRule="auto"/>
        <w:jc w:val="both"/>
        <w:rPr>
          <w:b/>
          <w:bCs/>
        </w:rPr>
      </w:pPr>
    </w:p>
    <w:p w14:paraId="41376C54" w14:textId="2E86E70A" w:rsidR="00E26F89" w:rsidRPr="001C0949" w:rsidRDefault="00E26F89" w:rsidP="00E26F89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1C0949">
        <w:rPr>
          <w:b/>
          <w:bCs/>
        </w:rPr>
        <w:t xml:space="preserve">Oświadczenie woli jako element czynności prawnej </w:t>
      </w:r>
    </w:p>
    <w:p w14:paraId="088E90F5" w14:textId="0D8F74EE" w:rsidR="005576D0" w:rsidRPr="001C0949" w:rsidRDefault="001269C0" w:rsidP="005576D0">
      <w:pPr>
        <w:spacing w:after="0" w:line="360" w:lineRule="auto"/>
        <w:ind w:firstLine="360"/>
        <w:jc w:val="both"/>
      </w:pPr>
      <w:r w:rsidRPr="001C0949">
        <w:t xml:space="preserve">Ocenę wydanego przez NSA orzeczenia należy rozpocząć od </w:t>
      </w:r>
      <w:r w:rsidR="00E85812" w:rsidRPr="001C0949">
        <w:t xml:space="preserve">zdefiniowania dwóch podstawowych pojęć </w:t>
      </w:r>
      <w:r w:rsidR="00B02386" w:rsidRPr="001C0949">
        <w:t>prawa cywilneg</w:t>
      </w:r>
      <w:r w:rsidR="00A420E8" w:rsidRPr="001C0949">
        <w:t>o</w:t>
      </w:r>
      <w:r w:rsidR="000600A8" w:rsidRPr="001C0949">
        <w:rPr>
          <w:rStyle w:val="Odwoanieprzypisudolnego"/>
        </w:rPr>
        <w:footnoteReference w:id="10"/>
      </w:r>
      <w:r w:rsidR="00A420E8" w:rsidRPr="001C0949">
        <w:t>: c</w:t>
      </w:r>
      <w:r w:rsidR="00B02386" w:rsidRPr="001C0949">
        <w:t>zynności prawnej i oświadczenia woli.</w:t>
      </w:r>
      <w:r w:rsidR="008475FA" w:rsidRPr="001C0949">
        <w:t xml:space="preserve"> </w:t>
      </w:r>
      <w:r w:rsidR="00FC0B03" w:rsidRPr="001C0949">
        <w:t xml:space="preserve">Realizacja przysługującego jednostce prawa podmiotowego dokonuje się poprzez </w:t>
      </w:r>
      <w:r w:rsidR="00305B48" w:rsidRPr="001C0949">
        <w:t xml:space="preserve">czynności prawne. </w:t>
      </w:r>
      <w:r w:rsidR="0083238D" w:rsidRPr="001C0949">
        <w:t>Czynność prawna</w:t>
      </w:r>
      <w:r w:rsidR="00FC2AFC" w:rsidRPr="001C0949">
        <w:t xml:space="preserve"> </w:t>
      </w:r>
      <w:r w:rsidR="0006035D" w:rsidRPr="001C0949">
        <w:t xml:space="preserve">zmierza do wywołania określonych skutków prawnych, a zatem powstania, </w:t>
      </w:r>
      <w:r w:rsidR="00FC65BF" w:rsidRPr="001C0949">
        <w:t xml:space="preserve">zmiany lub ustania stosunku </w:t>
      </w:r>
      <w:r w:rsidR="0024173F" w:rsidRPr="001C0949">
        <w:t>p</w:t>
      </w:r>
      <w:r w:rsidR="00FC65BF" w:rsidRPr="001C0949">
        <w:t>rawnego</w:t>
      </w:r>
      <w:r w:rsidR="00D140D5" w:rsidRPr="001C0949">
        <w:rPr>
          <w:rStyle w:val="Odwoanieprzypisudolnego"/>
        </w:rPr>
        <w:footnoteReference w:id="11"/>
      </w:r>
      <w:r w:rsidR="00FC65BF" w:rsidRPr="001C0949">
        <w:t xml:space="preserve">. </w:t>
      </w:r>
      <w:r w:rsidR="00920DCA" w:rsidRPr="001C0949">
        <w:t>D</w:t>
      </w:r>
      <w:r w:rsidR="00FC2AFC" w:rsidRPr="001C0949">
        <w:t xml:space="preserve">okonywanie </w:t>
      </w:r>
      <w:r w:rsidR="00FC2AFC" w:rsidRPr="001C0949">
        <w:lastRenderedPageBreak/>
        <w:t>czynności prawnych jest przejawem realizacji zasady autonomii woli stron</w:t>
      </w:r>
      <w:r w:rsidR="0024173F" w:rsidRPr="001C0949">
        <w:rPr>
          <w:rStyle w:val="Odwoanieprzypisudolnego"/>
        </w:rPr>
        <w:footnoteReference w:id="12"/>
      </w:r>
      <w:r w:rsidR="00FC2AFC" w:rsidRPr="001C0949">
        <w:t>.</w:t>
      </w:r>
      <w:r w:rsidR="006948D1" w:rsidRPr="001C0949">
        <w:t xml:space="preserve"> Nieodłącznym elementem </w:t>
      </w:r>
      <w:r w:rsidR="00CB218B" w:rsidRPr="001C0949">
        <w:t xml:space="preserve">każdej </w:t>
      </w:r>
      <w:r w:rsidR="006948D1" w:rsidRPr="001C0949">
        <w:t>czynności prawnej jest oświadczenie woli</w:t>
      </w:r>
      <w:r w:rsidR="00CF75CC" w:rsidRPr="001C0949">
        <w:t xml:space="preserve">. Pojęcie oświadczenia woli </w:t>
      </w:r>
      <w:r w:rsidR="00701E85" w:rsidRPr="001C0949">
        <w:t xml:space="preserve">reguluje </w:t>
      </w:r>
      <w:r w:rsidR="00A13771" w:rsidRPr="001C0949">
        <w:t xml:space="preserve">przepis </w:t>
      </w:r>
      <w:r w:rsidR="003C7BBF" w:rsidRPr="001C0949">
        <w:t>art. 60 k.c.</w:t>
      </w:r>
      <w:r w:rsidR="00A95098" w:rsidRPr="001C0949">
        <w:t xml:space="preserve"> </w:t>
      </w:r>
      <w:r w:rsidR="001D7CF7" w:rsidRPr="001C0949">
        <w:t>Zgodnie z normą wywiedzioną z tego przepisu</w:t>
      </w:r>
      <w:r w:rsidR="00053E40" w:rsidRPr="001C0949">
        <w:t xml:space="preserve"> </w:t>
      </w:r>
      <w:r w:rsidR="00610526" w:rsidRPr="001C0949">
        <w:t>o</w:t>
      </w:r>
      <w:r w:rsidR="003C7BBF" w:rsidRPr="001C0949">
        <w:t xml:space="preserve">świadczeniem woli jest każde zachowanie się osoby, które ujawnia </w:t>
      </w:r>
      <w:r w:rsidR="008051B2" w:rsidRPr="001C0949">
        <w:t xml:space="preserve">jej </w:t>
      </w:r>
      <w:r w:rsidR="003C7BBF" w:rsidRPr="001C0949">
        <w:t>wolę w sposób dostateczny</w:t>
      </w:r>
      <w:r w:rsidR="0006399E" w:rsidRPr="001C0949">
        <w:t>, przy czym wola</w:t>
      </w:r>
      <w:r w:rsidR="00610526" w:rsidRPr="001C0949">
        <w:t xml:space="preserve"> ta</w:t>
      </w:r>
      <w:r w:rsidR="0006399E" w:rsidRPr="001C0949">
        <w:t xml:space="preserve"> może zostać wyrażona również w postaci elektronicznej.</w:t>
      </w:r>
      <w:r w:rsidR="003C7BBF" w:rsidRPr="001C0949">
        <w:t xml:space="preserve"> </w:t>
      </w:r>
      <w:r w:rsidR="00227E24" w:rsidRPr="001C0949">
        <w:t>Przyjmuj</w:t>
      </w:r>
      <w:r w:rsidR="00610526" w:rsidRPr="001C0949">
        <w:t>e</w:t>
      </w:r>
      <w:r w:rsidR="00227E24" w:rsidRPr="001C0949">
        <w:t xml:space="preserve"> się, że</w:t>
      </w:r>
      <w:r w:rsidR="000D356C" w:rsidRPr="001C0949">
        <w:t xml:space="preserve"> o</w:t>
      </w:r>
      <w:r w:rsidR="00227E24" w:rsidRPr="001C0949">
        <w:t>świadczenie dostatecznie ujawnia wolę przede wszystkim wtedy, gdy jest złożone swobodnie</w:t>
      </w:r>
      <w:r w:rsidR="00227E24" w:rsidRPr="001C0949">
        <w:rPr>
          <w:rStyle w:val="Odwoanieprzypisudolnego"/>
        </w:rPr>
        <w:footnoteReference w:id="13"/>
      </w:r>
      <w:r w:rsidR="00227E24" w:rsidRPr="001C0949">
        <w:t xml:space="preserve"> i w sposób zrozumiały</w:t>
      </w:r>
      <w:r w:rsidR="00ED07BB" w:rsidRPr="001C0949">
        <w:rPr>
          <w:rStyle w:val="Odwoanieprzypisudolnego"/>
        </w:rPr>
        <w:footnoteReference w:id="14"/>
      </w:r>
      <w:r w:rsidR="008051B2" w:rsidRPr="001C0949">
        <w:t>.</w:t>
      </w:r>
      <w:r w:rsidR="00227E24" w:rsidRPr="001C0949">
        <w:t xml:space="preserve"> </w:t>
      </w:r>
      <w:r w:rsidR="0022024E" w:rsidRPr="001C0949">
        <w:t>Naczelny Sąd Administracyjny trafnie przyjął, że</w:t>
      </w:r>
      <w:r w:rsidR="00824A53" w:rsidRPr="001C0949">
        <w:t xml:space="preserve"> </w:t>
      </w:r>
      <w:r w:rsidR="00A028D1" w:rsidRPr="001C0949">
        <w:t>z art. 60 k.c.</w:t>
      </w:r>
      <w:r w:rsidR="00317E6F" w:rsidRPr="001C0949">
        <w:t xml:space="preserve"> wynika, iż oświadczenie woli </w:t>
      </w:r>
      <w:r w:rsidR="00B43F61" w:rsidRPr="001C0949">
        <w:t>może zostać złożone poprzez dowolne zachowanie się podmiotu</w:t>
      </w:r>
      <w:r w:rsidR="00BF6365" w:rsidRPr="001C0949">
        <w:t>, a w</w:t>
      </w:r>
      <w:r w:rsidR="00070F86" w:rsidRPr="001C0949">
        <w:t>yjątki w tym zakresie określa ustawa.</w:t>
      </w:r>
      <w:r w:rsidR="00602444" w:rsidRPr="001C0949">
        <w:t xml:space="preserve"> W </w:t>
      </w:r>
      <w:proofErr w:type="spellStart"/>
      <w:r w:rsidR="00602444" w:rsidRPr="001C0949">
        <w:t>glosowanym</w:t>
      </w:r>
      <w:proofErr w:type="spellEnd"/>
      <w:r w:rsidR="00602444" w:rsidRPr="001C0949">
        <w:t xml:space="preserve"> orzeczeniu nie budzi </w:t>
      </w:r>
      <w:r w:rsidR="00696CA4" w:rsidRPr="001C0949">
        <w:t xml:space="preserve">zatem </w:t>
      </w:r>
      <w:r w:rsidR="00602444" w:rsidRPr="001C0949">
        <w:t>wątpliwości</w:t>
      </w:r>
      <w:r w:rsidR="00B600C5" w:rsidRPr="001C0949">
        <w:t xml:space="preserve"> </w:t>
      </w:r>
      <w:r w:rsidR="00D64D6B" w:rsidRPr="001C0949">
        <w:t xml:space="preserve">sam </w:t>
      </w:r>
      <w:r w:rsidR="00B600C5" w:rsidRPr="001C0949">
        <w:t>fakt</w:t>
      </w:r>
      <w:r w:rsidR="000F1D9F" w:rsidRPr="001C0949">
        <w:t xml:space="preserve"> złożenia przez </w:t>
      </w:r>
      <w:r w:rsidR="003924DE" w:rsidRPr="001C0949">
        <w:t>podatnik</w:t>
      </w:r>
      <w:r w:rsidR="000F1D9F" w:rsidRPr="001C0949">
        <w:t>a</w:t>
      </w:r>
      <w:r w:rsidR="003924DE" w:rsidRPr="001C0949">
        <w:t xml:space="preserve"> oświadczeni</w:t>
      </w:r>
      <w:r w:rsidR="000F1D9F" w:rsidRPr="001C0949">
        <w:t>a</w:t>
      </w:r>
      <w:r w:rsidR="003924DE" w:rsidRPr="001C0949">
        <w:t xml:space="preserve"> woli</w:t>
      </w:r>
      <w:r w:rsidR="00FE09B1" w:rsidRPr="001C0949">
        <w:t xml:space="preserve">. </w:t>
      </w:r>
      <w:r w:rsidR="00B764B4" w:rsidRPr="001C0949">
        <w:t xml:space="preserve">Jako </w:t>
      </w:r>
      <w:r w:rsidR="00EA0A2C" w:rsidRPr="001C0949">
        <w:t>problematyczny jawi się sposób</w:t>
      </w:r>
      <w:r w:rsidR="000E1801" w:rsidRPr="001C0949">
        <w:t xml:space="preserve"> i cel</w:t>
      </w:r>
      <w:r w:rsidR="003E18DD" w:rsidRPr="001C0949">
        <w:t xml:space="preserve"> złożenia tego oświadczenia</w:t>
      </w:r>
      <w:r w:rsidR="000E1801" w:rsidRPr="001C0949">
        <w:t xml:space="preserve">. </w:t>
      </w:r>
      <w:r w:rsidR="00E02F84" w:rsidRPr="001C0949">
        <w:t xml:space="preserve">Ustawodawca w art. 9a ust. 2 </w:t>
      </w:r>
      <w:proofErr w:type="spellStart"/>
      <w:r w:rsidR="00E02F84" w:rsidRPr="001C0949">
        <w:t>u.p.d.o.f</w:t>
      </w:r>
      <w:proofErr w:type="spellEnd"/>
      <w:r w:rsidR="00E02F84" w:rsidRPr="001C0949">
        <w:t xml:space="preserve">. wskazuje, że </w:t>
      </w:r>
      <w:r w:rsidR="00EF4D41" w:rsidRPr="001C0949">
        <w:t>możliwość skorzystania ze stawki</w:t>
      </w:r>
      <w:r w:rsidR="006F530A" w:rsidRPr="001C0949">
        <w:t xml:space="preserve"> 19% </w:t>
      </w:r>
      <w:r w:rsidR="00CD4B91" w:rsidRPr="001C0949">
        <w:t>jest</w:t>
      </w:r>
      <w:r w:rsidR="00791AFC" w:rsidRPr="001C0949">
        <w:t xml:space="preserve"> warunkowan</w:t>
      </w:r>
      <w:r w:rsidR="00696CA4" w:rsidRPr="001C0949">
        <w:t>a</w:t>
      </w:r>
      <w:r w:rsidR="00CD4B91" w:rsidRPr="001C0949">
        <w:t xml:space="preserve"> kumulatywnym </w:t>
      </w:r>
      <w:r w:rsidR="00310DC2" w:rsidRPr="001C0949">
        <w:t xml:space="preserve">spełnieniem </w:t>
      </w:r>
      <w:r w:rsidR="00306FBE" w:rsidRPr="001C0949">
        <w:t>dwóch przesłanek</w:t>
      </w:r>
      <w:r w:rsidR="00310DC2" w:rsidRPr="001C0949">
        <w:t xml:space="preserve">. Po pierwsze, </w:t>
      </w:r>
      <w:r w:rsidR="00551301" w:rsidRPr="001C0949">
        <w:t>podatnik musi złożyć organowi podatkowemu oświadczenie o w wyborze powyższego sposobu opodatkowania</w:t>
      </w:r>
      <w:r w:rsidR="00DF7A6C" w:rsidRPr="001C0949">
        <w:t>, które powinno być</w:t>
      </w:r>
      <w:r w:rsidR="00551301" w:rsidRPr="001C0949">
        <w:t xml:space="preserve"> sporządzone na piśmie. Po drugie</w:t>
      </w:r>
      <w:r w:rsidR="00BC16C8" w:rsidRPr="001C0949">
        <w:t>, oświadczenie</w:t>
      </w:r>
      <w:r w:rsidR="00B46904" w:rsidRPr="001C0949">
        <w:t xml:space="preserve"> to </w:t>
      </w:r>
      <w:r w:rsidR="00BC16C8" w:rsidRPr="001C0949">
        <w:t>powinno zostać złożone w odpowiednim terminie.</w:t>
      </w:r>
      <w:r w:rsidR="00B46904" w:rsidRPr="001C0949">
        <w:t xml:space="preserve"> W analizowanym stanie faktycznym zachowanie przez podatnika termin</w:t>
      </w:r>
      <w:r w:rsidR="00AE2475" w:rsidRPr="001C0949">
        <w:t>u do złożenia oświadczenia nie było kwestionowa</w:t>
      </w:r>
      <w:r w:rsidR="00B54669" w:rsidRPr="001C0949">
        <w:t>ne.</w:t>
      </w:r>
      <w:r w:rsidR="00AE2475" w:rsidRPr="001C0949">
        <w:t xml:space="preserve"> </w:t>
      </w:r>
    </w:p>
    <w:p w14:paraId="3CB14D13" w14:textId="373A15DD" w:rsidR="00496EDE" w:rsidRPr="001C0949" w:rsidRDefault="00CC47C8" w:rsidP="0000236F">
      <w:pPr>
        <w:spacing w:after="0" w:line="360" w:lineRule="auto"/>
        <w:ind w:firstLine="360"/>
        <w:jc w:val="both"/>
        <w:rPr>
          <w:b/>
          <w:bCs/>
        </w:rPr>
      </w:pPr>
      <w:r w:rsidRPr="001C0949">
        <w:t>Pods</w:t>
      </w:r>
      <w:r w:rsidR="00DF7A6C" w:rsidRPr="001C0949">
        <w:t xml:space="preserve">tawowym problemem, z </w:t>
      </w:r>
      <w:r w:rsidR="0046474C" w:rsidRPr="001C0949">
        <w:t>którym</w:t>
      </w:r>
      <w:r w:rsidR="00DF7A6C" w:rsidRPr="001C0949">
        <w:t xml:space="preserve"> musiał zmierzyć się NSA w </w:t>
      </w:r>
      <w:r w:rsidR="001E6210" w:rsidRPr="001C0949">
        <w:t>komentowa</w:t>
      </w:r>
      <w:r w:rsidR="00933155" w:rsidRPr="001C0949">
        <w:t>nym</w:t>
      </w:r>
      <w:r w:rsidR="00DF7A6C" w:rsidRPr="001C0949">
        <w:t xml:space="preserve"> orzeczeniu</w:t>
      </w:r>
      <w:r w:rsidR="00B54669" w:rsidRPr="001C0949">
        <w:t>,</w:t>
      </w:r>
      <w:r w:rsidR="005A5F16" w:rsidRPr="001C0949">
        <w:t xml:space="preserve"> </w:t>
      </w:r>
      <w:r w:rsidR="000E38BD" w:rsidRPr="001C0949">
        <w:t xml:space="preserve">było </w:t>
      </w:r>
      <w:r w:rsidR="005A5F16" w:rsidRPr="001C0949">
        <w:t>dokonanie wykładni zwrot</w:t>
      </w:r>
      <w:r w:rsidR="00053ED4" w:rsidRPr="001C0949">
        <w:t>u „sporządzić</w:t>
      </w:r>
      <w:r w:rsidR="009C20EE" w:rsidRPr="001C0949">
        <w:t xml:space="preserve"> coś</w:t>
      </w:r>
      <w:r w:rsidR="00053ED4" w:rsidRPr="001C0949">
        <w:t xml:space="preserve"> na piśmie”. </w:t>
      </w:r>
      <w:r w:rsidR="009C20EE" w:rsidRPr="001C0949">
        <w:t xml:space="preserve">Naczelny Sąd Administracyjny błędnie </w:t>
      </w:r>
      <w:r w:rsidR="00556FB3" w:rsidRPr="001C0949">
        <w:t>przyjął</w:t>
      </w:r>
      <w:r w:rsidR="008363A8" w:rsidRPr="001C0949">
        <w:t xml:space="preserve"> za podstawę swoich rozważań potoczne rozumienie </w:t>
      </w:r>
      <w:r w:rsidR="00A3371B" w:rsidRPr="001C0949">
        <w:t>wspomnianego</w:t>
      </w:r>
      <w:r w:rsidR="008363A8" w:rsidRPr="001C0949">
        <w:t xml:space="preserve"> zwrotu</w:t>
      </w:r>
      <w:r w:rsidR="00546FA7" w:rsidRPr="001C0949">
        <w:t xml:space="preserve"> bez odwołania się do pozostałych reguł wykładni.</w:t>
      </w:r>
      <w:r w:rsidR="002065FD" w:rsidRPr="001C0949">
        <w:t xml:space="preserve"> </w:t>
      </w:r>
      <w:r w:rsidR="00EA14EE" w:rsidRPr="001C0949">
        <w:t>W procesie</w:t>
      </w:r>
      <w:r w:rsidR="00361598" w:rsidRPr="001C0949">
        <w:t xml:space="preserve"> wykładni</w:t>
      </w:r>
      <w:r w:rsidR="00FF7572" w:rsidRPr="001C0949">
        <w:t xml:space="preserve"> prawa pierwszeństwo mają reguły wykładni językowe</w:t>
      </w:r>
      <w:r w:rsidR="002B63E2" w:rsidRPr="001C0949">
        <w:t>j, które</w:t>
      </w:r>
      <w:r w:rsidR="00701C1B" w:rsidRPr="001C0949">
        <w:t xml:space="preserve"> pozwalają na zrekonstruowanie normy prawnej </w:t>
      </w:r>
      <w:r w:rsidR="00EA14EE" w:rsidRPr="001C0949">
        <w:t>zgodnie z literalnym brzmieniem przepisu prawnego</w:t>
      </w:r>
      <w:r w:rsidR="002B63E2" w:rsidRPr="001C0949">
        <w:rPr>
          <w:rStyle w:val="Odwoanieprzypisudolnego"/>
        </w:rPr>
        <w:footnoteReference w:id="15"/>
      </w:r>
      <w:r w:rsidR="00EA14EE" w:rsidRPr="001C0949">
        <w:t xml:space="preserve">. </w:t>
      </w:r>
      <w:r w:rsidR="00642333" w:rsidRPr="001C0949">
        <w:t>Jeśli ustawodawca nie wprowadził definicji legalnej</w:t>
      </w:r>
      <w:r w:rsidR="00084AB1" w:rsidRPr="001C0949">
        <w:t xml:space="preserve">, </w:t>
      </w:r>
      <w:r w:rsidR="00642333" w:rsidRPr="001C0949">
        <w:t xml:space="preserve">to </w:t>
      </w:r>
      <w:r w:rsidR="001359D2" w:rsidRPr="001C0949">
        <w:t>s</w:t>
      </w:r>
      <w:r w:rsidR="00990F08" w:rsidRPr="001C0949">
        <w:t>ąd</w:t>
      </w:r>
      <w:r w:rsidR="00820459" w:rsidRPr="001C0949">
        <w:t xml:space="preserve"> </w:t>
      </w:r>
      <w:r w:rsidR="00642333" w:rsidRPr="001C0949">
        <w:t>w</w:t>
      </w:r>
      <w:r w:rsidR="00A321EC" w:rsidRPr="001C0949">
        <w:t xml:space="preserve"> pierwszej kolejności </w:t>
      </w:r>
      <w:r w:rsidR="006A3096" w:rsidRPr="001C0949">
        <w:t>powinien</w:t>
      </w:r>
      <w:r w:rsidR="00E25ADF" w:rsidRPr="001C0949">
        <w:t xml:space="preserve"> uwzględnić </w:t>
      </w:r>
      <w:r w:rsidR="000F6049" w:rsidRPr="001C0949">
        <w:t xml:space="preserve">takie </w:t>
      </w:r>
      <w:r w:rsidR="00E86470" w:rsidRPr="001C0949">
        <w:t>znaczenie</w:t>
      </w:r>
      <w:r w:rsidR="00C76469" w:rsidRPr="001C0949">
        <w:t xml:space="preserve"> danego pojęcia</w:t>
      </w:r>
      <w:r w:rsidR="00E86470" w:rsidRPr="001C0949">
        <w:t>,</w:t>
      </w:r>
      <w:r w:rsidR="00BB13DC" w:rsidRPr="001C0949">
        <w:t xml:space="preserve"> jakie zostało mu nadane</w:t>
      </w:r>
      <w:r w:rsidR="003E0126" w:rsidRPr="001C0949">
        <w:t xml:space="preserve"> </w:t>
      </w:r>
      <w:r w:rsidR="00FF49A8" w:rsidRPr="001C0949">
        <w:t xml:space="preserve">w języku potocznym. </w:t>
      </w:r>
      <w:r w:rsidR="00211127" w:rsidRPr="001C0949">
        <w:t>Język potoczny należy rozumieć jako języ</w:t>
      </w:r>
      <w:r w:rsidR="00127E1C" w:rsidRPr="001C0949">
        <w:t xml:space="preserve">k </w:t>
      </w:r>
      <w:r w:rsidR="004D64B6" w:rsidRPr="001C0949">
        <w:t>ogólny</w:t>
      </w:r>
      <w:r w:rsidR="00941C8E" w:rsidRPr="001C0949">
        <w:t xml:space="preserve">, który </w:t>
      </w:r>
      <w:r w:rsidR="00941C8E" w:rsidRPr="001C0949">
        <w:lastRenderedPageBreak/>
        <w:t>został upowszechniony</w:t>
      </w:r>
      <w:r w:rsidR="00641034" w:rsidRPr="001C0949">
        <w:t xml:space="preserve"> i służy do porozumiewania</w:t>
      </w:r>
      <w:r w:rsidR="00941C8E" w:rsidRPr="001C0949">
        <w:t xml:space="preserve"> </w:t>
      </w:r>
      <w:r w:rsidR="00E86470" w:rsidRPr="001C0949">
        <w:t xml:space="preserve">się </w:t>
      </w:r>
      <w:r w:rsidR="00941C8E" w:rsidRPr="001C0949">
        <w:t>we wszystkich dziedzinach</w:t>
      </w:r>
      <w:r w:rsidR="00641034" w:rsidRPr="001C0949">
        <w:rPr>
          <w:rStyle w:val="Odwoanieprzypisudolnego"/>
        </w:rPr>
        <w:footnoteReference w:id="16"/>
      </w:r>
      <w:r w:rsidR="00641034" w:rsidRPr="001C0949">
        <w:t>.</w:t>
      </w:r>
      <w:r w:rsidR="0094275D" w:rsidRPr="001C0949">
        <w:t xml:space="preserve"> Dyrektywa języka potocznego </w:t>
      </w:r>
      <w:r w:rsidR="00EE4776" w:rsidRPr="001C0949">
        <w:t xml:space="preserve">nakazuje przypisanie normie </w:t>
      </w:r>
      <w:r w:rsidR="00624FE0" w:rsidRPr="001C0949">
        <w:t>takiego znaczenia, jakie ma ona w języku potocznym, chyba że</w:t>
      </w:r>
      <w:r w:rsidR="00085A39" w:rsidRPr="001C0949">
        <w:t xml:space="preserve"> </w:t>
      </w:r>
      <w:r w:rsidR="00C94497" w:rsidRPr="001C0949">
        <w:t xml:space="preserve">ważne względy uzasadniają </w:t>
      </w:r>
      <w:r w:rsidR="00085A39" w:rsidRPr="001C0949">
        <w:t>odst</w:t>
      </w:r>
      <w:r w:rsidR="00135FFD" w:rsidRPr="001C0949">
        <w:t>ąpienie</w:t>
      </w:r>
      <w:r w:rsidR="00085A39" w:rsidRPr="001C0949">
        <w:t xml:space="preserve"> od takiego znaczenia</w:t>
      </w:r>
      <w:r w:rsidR="00C94497" w:rsidRPr="001C0949">
        <w:t>.</w:t>
      </w:r>
      <w:r w:rsidR="00085A39" w:rsidRPr="001C0949">
        <w:t xml:space="preserve"> </w:t>
      </w:r>
      <w:r w:rsidR="008363A8" w:rsidRPr="001C0949">
        <w:t>N</w:t>
      </w:r>
      <w:r w:rsidR="00085A39" w:rsidRPr="001C0949">
        <w:t xml:space="preserve">aczelny Sąd Administracyjny trafnie </w:t>
      </w:r>
      <w:r w:rsidR="000A37BB" w:rsidRPr="001C0949">
        <w:t xml:space="preserve">wskazał, </w:t>
      </w:r>
      <w:r w:rsidR="00A40D51" w:rsidRPr="001C0949">
        <w:t xml:space="preserve">że </w:t>
      </w:r>
      <w:r w:rsidR="000A37BB" w:rsidRPr="001C0949">
        <w:t xml:space="preserve">brak jest definicji </w:t>
      </w:r>
      <w:r w:rsidR="00AB4F71" w:rsidRPr="001C0949">
        <w:t xml:space="preserve">legalnej </w:t>
      </w:r>
      <w:r w:rsidR="00DE1881" w:rsidRPr="001C0949">
        <w:t>wyrażenia</w:t>
      </w:r>
      <w:r w:rsidR="00AB4F71" w:rsidRPr="001C0949">
        <w:t xml:space="preserve"> „sporządz</w:t>
      </w:r>
      <w:r w:rsidR="006D48CA" w:rsidRPr="001C0949">
        <w:t>ić coś</w:t>
      </w:r>
      <w:r w:rsidR="00AB4F71" w:rsidRPr="001C0949">
        <w:t xml:space="preserve"> na </w:t>
      </w:r>
      <w:r w:rsidR="004D3635" w:rsidRPr="001C0949">
        <w:t>piśmie”</w:t>
      </w:r>
      <w:r w:rsidR="00A619E8" w:rsidRPr="001C0949">
        <w:t>. Są</w:t>
      </w:r>
      <w:r w:rsidR="009969E6" w:rsidRPr="001C0949">
        <w:t>d</w:t>
      </w:r>
      <w:r w:rsidR="00A619E8" w:rsidRPr="001C0949">
        <w:t xml:space="preserve"> poprawnie</w:t>
      </w:r>
      <w:r w:rsidR="00264379" w:rsidRPr="001C0949">
        <w:t xml:space="preserve"> </w:t>
      </w:r>
      <w:r w:rsidR="009177CA" w:rsidRPr="001C0949">
        <w:t xml:space="preserve">ustalił </w:t>
      </w:r>
      <w:r w:rsidR="004D28F8" w:rsidRPr="001C0949">
        <w:t xml:space="preserve">także </w:t>
      </w:r>
      <w:r w:rsidR="009177CA" w:rsidRPr="001C0949">
        <w:t>znaczenie wspomnianego wyrażenia w języku potocznym.</w:t>
      </w:r>
      <w:r w:rsidR="000704B3" w:rsidRPr="001C0949">
        <w:t xml:space="preserve"> </w:t>
      </w:r>
      <w:r w:rsidR="00903E73" w:rsidRPr="001C0949">
        <w:t xml:space="preserve">Prawidłowe rozstrzygnięcie </w:t>
      </w:r>
      <w:r w:rsidR="00C5720F" w:rsidRPr="001C0949">
        <w:t xml:space="preserve">sprawy wymagało jednak przeprowadzenia dalszej wykładni, z zastosowaniem reguł systemowych i funkcjonalnych. </w:t>
      </w:r>
      <w:r w:rsidR="0056525C" w:rsidRPr="001C0949">
        <w:t xml:space="preserve">Jeśli </w:t>
      </w:r>
      <w:r w:rsidR="00A34E76" w:rsidRPr="001C0949">
        <w:t>wykładnia językowa nie daje jasnych rezultatów</w:t>
      </w:r>
      <w:r w:rsidR="0056525C" w:rsidRPr="001C0949">
        <w:t xml:space="preserve">, </w:t>
      </w:r>
      <w:r w:rsidR="003703B4" w:rsidRPr="001C0949">
        <w:t>wówczas</w:t>
      </w:r>
      <w:r w:rsidR="0056525C" w:rsidRPr="001C0949">
        <w:t xml:space="preserve"> sąd ma obowiązek </w:t>
      </w:r>
      <w:r w:rsidR="00E015B1" w:rsidRPr="001C0949">
        <w:t>zastosowania reguł pomocniczych, a więc systemowych i funkcjonalnych</w:t>
      </w:r>
      <w:r w:rsidR="009D374F" w:rsidRPr="001C0949">
        <w:rPr>
          <w:rStyle w:val="Odwoanieprzypisudolnego"/>
        </w:rPr>
        <w:footnoteReference w:id="17"/>
      </w:r>
      <w:r w:rsidR="00E015B1" w:rsidRPr="001C0949">
        <w:t>.</w:t>
      </w:r>
      <w:r w:rsidR="00982910" w:rsidRPr="001C0949">
        <w:t xml:space="preserve"> Ze względu na</w:t>
      </w:r>
      <w:r w:rsidR="00893C4E" w:rsidRPr="001C0949">
        <w:t xml:space="preserve"> publicznoprawny</w:t>
      </w:r>
      <w:r w:rsidR="00982910" w:rsidRPr="001C0949">
        <w:t xml:space="preserve"> charakter norm prawa podatkowego</w:t>
      </w:r>
      <w:r w:rsidR="00174DAD" w:rsidRPr="001C0949">
        <w:t xml:space="preserve"> przepisy tej gałęzi prawa powinny być </w:t>
      </w:r>
      <w:r w:rsidR="0048174A" w:rsidRPr="001C0949">
        <w:t>redagowane w sposób</w:t>
      </w:r>
      <w:r w:rsidR="00247DE5" w:rsidRPr="001C0949">
        <w:t xml:space="preserve"> precyzyjny</w:t>
      </w:r>
      <w:r w:rsidR="00086D37" w:rsidRPr="001C0949">
        <w:t xml:space="preserve">. </w:t>
      </w:r>
      <w:r w:rsidR="000676BD" w:rsidRPr="001C0949">
        <w:t>N</w:t>
      </w:r>
      <w:r w:rsidR="00A868FB" w:rsidRPr="001C0949">
        <w:t>atomiast</w:t>
      </w:r>
      <w:r w:rsidR="00185B55" w:rsidRPr="001C0949">
        <w:t xml:space="preserve"> </w:t>
      </w:r>
      <w:r w:rsidR="00291E06" w:rsidRPr="001C0949">
        <w:t>interpretacj</w:t>
      </w:r>
      <w:r w:rsidR="00D84D72" w:rsidRPr="001C0949">
        <w:t>a</w:t>
      </w:r>
      <w:r w:rsidR="00291E06" w:rsidRPr="001C0949">
        <w:t xml:space="preserve"> </w:t>
      </w:r>
      <w:r w:rsidR="00A55B8A" w:rsidRPr="001C0949">
        <w:t>no</w:t>
      </w:r>
      <w:r w:rsidR="00D84D72" w:rsidRPr="001C0949">
        <w:t xml:space="preserve">rm prawa podatkowego </w:t>
      </w:r>
      <w:r w:rsidR="00185B55" w:rsidRPr="001C0949">
        <w:t>wymaga uwzględnienia szerszego kontekstu</w:t>
      </w:r>
      <w:r w:rsidR="005D6FCA" w:rsidRPr="001C0949">
        <w:t xml:space="preserve"> </w:t>
      </w:r>
      <w:r w:rsidR="00185B55" w:rsidRPr="001C0949">
        <w:t xml:space="preserve">aniżeli </w:t>
      </w:r>
      <w:r w:rsidR="00C270EE" w:rsidRPr="001C0949">
        <w:t>płaszczyzna językowa</w:t>
      </w:r>
      <w:r w:rsidR="00333B33" w:rsidRPr="001C0949">
        <w:rPr>
          <w:rStyle w:val="Odwoanieprzypisudolnego"/>
        </w:rPr>
        <w:footnoteReference w:id="18"/>
      </w:r>
      <w:r w:rsidR="00185B55" w:rsidRPr="001C0949">
        <w:t xml:space="preserve">. </w:t>
      </w:r>
      <w:r w:rsidR="00C07D0E" w:rsidRPr="001C0949">
        <w:t xml:space="preserve">Uwzględnienie w procesie wykładni szczególnie </w:t>
      </w:r>
      <w:r w:rsidR="002D568E" w:rsidRPr="001C0949">
        <w:t xml:space="preserve">reguł funkcjonalnych w wielu przypadkach może zmienić </w:t>
      </w:r>
      <w:r w:rsidR="007E3B6B" w:rsidRPr="001C0949">
        <w:t xml:space="preserve">znaczenie normy wynikające z jej językowego rozumienia. </w:t>
      </w:r>
      <w:r w:rsidR="00EA46D9" w:rsidRPr="001C0949">
        <w:t xml:space="preserve">Naczelny Sąd Administracyjny rozstrzygając </w:t>
      </w:r>
      <w:r w:rsidR="0030460D" w:rsidRPr="001C0949">
        <w:t xml:space="preserve">sprawę, powinien </w:t>
      </w:r>
      <w:r w:rsidR="00406C92" w:rsidRPr="001C0949">
        <w:t xml:space="preserve">wziąć pod uwagę </w:t>
      </w:r>
      <w:r w:rsidR="00893056" w:rsidRPr="001C0949">
        <w:t xml:space="preserve">kontekst systemowy oraz </w:t>
      </w:r>
      <w:r w:rsidR="00406C92" w:rsidRPr="001C0949">
        <w:rPr>
          <w:i/>
          <w:iCs/>
        </w:rPr>
        <w:t>ratio legis</w:t>
      </w:r>
      <w:r w:rsidR="00406C92" w:rsidRPr="001C0949">
        <w:t xml:space="preserve"> przepisu art. 9a ust. 2</w:t>
      </w:r>
      <w:r w:rsidR="00840009" w:rsidRPr="001C0949">
        <w:t xml:space="preserve"> </w:t>
      </w:r>
      <w:proofErr w:type="spellStart"/>
      <w:r w:rsidR="00840009" w:rsidRPr="001C0949">
        <w:t>u.p.d.o.f</w:t>
      </w:r>
      <w:proofErr w:type="spellEnd"/>
      <w:r w:rsidR="00840009" w:rsidRPr="001C0949">
        <w:t>.</w:t>
      </w:r>
      <w:r w:rsidR="00406C92" w:rsidRPr="001C0949">
        <w:t xml:space="preserve"> </w:t>
      </w:r>
    </w:p>
    <w:p w14:paraId="417B4E08" w14:textId="67C01C52" w:rsidR="0047342D" w:rsidRPr="001C0949" w:rsidRDefault="00467B5B" w:rsidP="00D7062B">
      <w:pPr>
        <w:spacing w:after="0" w:line="360" w:lineRule="auto"/>
        <w:ind w:firstLine="360"/>
        <w:jc w:val="both"/>
      </w:pPr>
      <w:r w:rsidRPr="001C0949">
        <w:t xml:space="preserve">Literalne brzmienie </w:t>
      </w:r>
      <w:r w:rsidR="00C24937" w:rsidRPr="001C0949">
        <w:t>analizowanego</w:t>
      </w:r>
      <w:r w:rsidR="00915B29" w:rsidRPr="001C0949">
        <w:t xml:space="preserve"> </w:t>
      </w:r>
      <w:r w:rsidRPr="001C0949">
        <w:t>przepisu</w:t>
      </w:r>
      <w:r w:rsidR="00915B29" w:rsidRPr="001C0949">
        <w:t xml:space="preserve"> prawnego</w:t>
      </w:r>
      <w:r w:rsidR="00FF116A" w:rsidRPr="001C0949">
        <w:t xml:space="preserve"> nie pozwala</w:t>
      </w:r>
      <w:r w:rsidR="00455F36" w:rsidRPr="001C0949">
        <w:t xml:space="preserve"> przyjąć</w:t>
      </w:r>
      <w:r w:rsidR="00FF116A" w:rsidRPr="001C0949">
        <w:t xml:space="preserve">, jak zauważył NSA, że dla </w:t>
      </w:r>
      <w:r w:rsidR="0047342D" w:rsidRPr="001C0949">
        <w:t xml:space="preserve">wyboru </w:t>
      </w:r>
      <w:r w:rsidR="00F36A1E" w:rsidRPr="001C0949">
        <w:t xml:space="preserve">formy </w:t>
      </w:r>
      <w:r w:rsidR="0047342D" w:rsidRPr="001C0949">
        <w:t>opodatkowania ustawodawca zastrzegł formę pisemną</w:t>
      </w:r>
      <w:r w:rsidR="00A47E6A" w:rsidRPr="001C0949">
        <w:t>, o które</w:t>
      </w:r>
      <w:r w:rsidR="00CE5DC4" w:rsidRPr="001C0949">
        <w:t>j mowa w przepisach Kodeksu cywilnego</w:t>
      </w:r>
      <w:r w:rsidR="00AB2760" w:rsidRPr="001C0949">
        <w:t xml:space="preserve">. </w:t>
      </w:r>
      <w:r w:rsidR="00C90729" w:rsidRPr="001C0949">
        <w:t xml:space="preserve">Zgodnie z normą wywiedzioną z przepisu art. 78 </w:t>
      </w:r>
      <w:r w:rsidR="00585497" w:rsidRPr="001C0949">
        <w:t xml:space="preserve">§ 1 </w:t>
      </w:r>
      <w:r w:rsidR="00C90729" w:rsidRPr="001C0949">
        <w:t>k.c.</w:t>
      </w:r>
      <w:r w:rsidR="003F1871" w:rsidRPr="001C0949">
        <w:t xml:space="preserve"> </w:t>
      </w:r>
      <w:r w:rsidR="004A497A" w:rsidRPr="001C0949">
        <w:t xml:space="preserve">zachowanie </w:t>
      </w:r>
      <w:r w:rsidR="00893056" w:rsidRPr="001C0949">
        <w:t xml:space="preserve">formy </w:t>
      </w:r>
      <w:r w:rsidR="004A497A" w:rsidRPr="001C0949">
        <w:t xml:space="preserve">pisemnej czynności prawnej wymaga spełnienia dwóch </w:t>
      </w:r>
      <w:r w:rsidR="009D528F" w:rsidRPr="001C0949">
        <w:t>przesłanek</w:t>
      </w:r>
      <w:r w:rsidR="004A497A" w:rsidRPr="001C0949">
        <w:t xml:space="preserve">: </w:t>
      </w:r>
      <w:r w:rsidR="00114015" w:rsidRPr="001C0949">
        <w:t xml:space="preserve">sporządzenia dokumentu i opatrzenia go </w:t>
      </w:r>
      <w:r w:rsidR="0071245B" w:rsidRPr="001C0949">
        <w:t xml:space="preserve">własnoręcznym </w:t>
      </w:r>
      <w:r w:rsidR="00114015" w:rsidRPr="001C0949">
        <w:t>podpisem</w:t>
      </w:r>
      <w:r w:rsidR="00D50986" w:rsidRPr="001C0949">
        <w:rPr>
          <w:rStyle w:val="Odwoanieprzypisudolnego"/>
        </w:rPr>
        <w:footnoteReference w:id="19"/>
      </w:r>
      <w:r w:rsidR="00C9756F" w:rsidRPr="001C0949">
        <w:t xml:space="preserve">. Dla prawidłowego zrozumienia </w:t>
      </w:r>
      <w:r w:rsidR="009A0ED6" w:rsidRPr="001C0949">
        <w:t>wyrażenia „sporządzić coś na piśmie”</w:t>
      </w:r>
      <w:r w:rsidR="0071245B" w:rsidRPr="001C0949">
        <w:t xml:space="preserve">, </w:t>
      </w:r>
      <w:r w:rsidR="00770070" w:rsidRPr="001C0949">
        <w:t>oprócz ustalenia powszechnego znaczenia</w:t>
      </w:r>
      <w:r w:rsidR="009D528F" w:rsidRPr="001C0949">
        <w:t>,</w:t>
      </w:r>
      <w:r w:rsidR="00770070" w:rsidRPr="001C0949">
        <w:t xml:space="preserve"> konieczne jest sięgnięcie</w:t>
      </w:r>
      <w:r w:rsidR="009D528F" w:rsidRPr="001C0949">
        <w:t xml:space="preserve"> </w:t>
      </w:r>
      <w:r w:rsidR="00593A07" w:rsidRPr="001C0949">
        <w:t>do uzasadnieni</w:t>
      </w:r>
      <w:r w:rsidR="004E5C84" w:rsidRPr="001C0949">
        <w:t>a projektu ustawy o doręczeniach elektronicznych</w:t>
      </w:r>
      <w:r w:rsidR="004E5C84" w:rsidRPr="001C0949">
        <w:rPr>
          <w:rStyle w:val="Odwoanieprzypisudolnego"/>
        </w:rPr>
        <w:footnoteReference w:id="20"/>
      </w:r>
      <w:r w:rsidR="004E5C84" w:rsidRPr="001C0949">
        <w:t>.</w:t>
      </w:r>
      <w:r w:rsidR="00F943FD" w:rsidRPr="001C0949">
        <w:t xml:space="preserve"> </w:t>
      </w:r>
      <w:r w:rsidR="003744F9" w:rsidRPr="001C0949">
        <w:t>Jedną z ważniejszych zmian, którą wprowadził</w:t>
      </w:r>
      <w:r w:rsidR="009A4A04" w:rsidRPr="001C0949">
        <w:t>a</w:t>
      </w:r>
      <w:r w:rsidR="003744F9" w:rsidRPr="001C0949">
        <w:t xml:space="preserve"> </w:t>
      </w:r>
      <w:r w:rsidR="00651C9B" w:rsidRPr="001C0949">
        <w:t>ustaw</w:t>
      </w:r>
      <w:r w:rsidR="00B01AA5" w:rsidRPr="001C0949">
        <w:t>a</w:t>
      </w:r>
      <w:r w:rsidR="00651C9B" w:rsidRPr="001C0949">
        <w:t xml:space="preserve"> o doręczeniach elektronicznych</w:t>
      </w:r>
      <w:r w:rsidR="00B01AA5" w:rsidRPr="001C0949">
        <w:rPr>
          <w:rStyle w:val="Odwoanieprzypisudolnego"/>
        </w:rPr>
        <w:footnoteReference w:id="21"/>
      </w:r>
      <w:r w:rsidR="009A4A04" w:rsidRPr="001C0949">
        <w:t xml:space="preserve"> </w:t>
      </w:r>
      <w:r w:rsidR="00C930EB" w:rsidRPr="001C0949">
        <w:t xml:space="preserve">jest zmiana w zakresie terminologii stosowanej w przepisach </w:t>
      </w:r>
      <w:r w:rsidR="00B01AA5" w:rsidRPr="001C0949">
        <w:t>Ordynacji podatkowej</w:t>
      </w:r>
      <w:r w:rsidR="00C930EB" w:rsidRPr="001C0949">
        <w:t xml:space="preserve">. </w:t>
      </w:r>
      <w:r w:rsidR="00C930EB" w:rsidRPr="001C0949">
        <w:lastRenderedPageBreak/>
        <w:t xml:space="preserve">Chodzi o zastąpienie wyrazu </w:t>
      </w:r>
      <w:r w:rsidR="008B3C55" w:rsidRPr="001C0949">
        <w:t>„pisemn</w:t>
      </w:r>
      <w:r w:rsidR="006D7EB5" w:rsidRPr="001C0949">
        <w:t>i</w:t>
      </w:r>
      <w:r w:rsidR="008B3C55" w:rsidRPr="001C0949">
        <w:t xml:space="preserve">e” na wyrażenie „sporządzone na piśmie”. </w:t>
      </w:r>
      <w:r w:rsidR="00C07B6E" w:rsidRPr="001C0949">
        <w:t>Zmiana</w:t>
      </w:r>
      <w:r w:rsidR="00EB3E8F" w:rsidRPr="001C0949">
        <w:t xml:space="preserve"> ta ma na celu zrównoważenie postaci papierowej </w:t>
      </w:r>
      <w:r w:rsidR="00404E0C" w:rsidRPr="001C0949">
        <w:t xml:space="preserve">oświadczenia woli </w:t>
      </w:r>
      <w:r w:rsidR="00EB3E8F" w:rsidRPr="001C0949">
        <w:t>z postacią elektroniczną</w:t>
      </w:r>
      <w:r w:rsidR="00404E0C" w:rsidRPr="001C0949">
        <w:t>.</w:t>
      </w:r>
      <w:r w:rsidR="00EE3821" w:rsidRPr="001C0949">
        <w:t xml:space="preserve"> </w:t>
      </w:r>
    </w:p>
    <w:p w14:paraId="5B3D931A" w14:textId="3C659A29" w:rsidR="000C6199" w:rsidRPr="001C0949" w:rsidRDefault="00E93623" w:rsidP="00A6262E">
      <w:pPr>
        <w:spacing w:after="0" w:line="360" w:lineRule="auto"/>
        <w:ind w:firstLine="360"/>
        <w:jc w:val="both"/>
      </w:pPr>
      <w:r w:rsidRPr="001C0949">
        <w:t>Negatywni</w:t>
      </w:r>
      <w:r w:rsidR="000C6199" w:rsidRPr="001C0949">
        <w:t>e należy ocenić fakt, ż</w:t>
      </w:r>
      <w:r w:rsidR="00D672C8" w:rsidRPr="001C0949">
        <w:t>e</w:t>
      </w:r>
      <w:r w:rsidR="000C6199" w:rsidRPr="001C0949">
        <w:t xml:space="preserve"> NSA </w:t>
      </w:r>
      <w:r w:rsidR="007D532C" w:rsidRPr="001C0949">
        <w:t>w swoim rozstrzygnięciu nie uwzględnił</w:t>
      </w:r>
      <w:r w:rsidR="000C6199" w:rsidRPr="001C0949">
        <w:t xml:space="preserve"> przepisów Ordynacji podatkowej, które mają istotne znaczenie dla </w:t>
      </w:r>
      <w:r w:rsidR="00C83A84" w:rsidRPr="001C0949">
        <w:t xml:space="preserve">analizowanej </w:t>
      </w:r>
      <w:r w:rsidR="000C6199" w:rsidRPr="001C0949">
        <w:t xml:space="preserve">sprawy. Zgodnie z normą wynikającą z przepisu art. 126 § 4 </w:t>
      </w:r>
      <w:proofErr w:type="spellStart"/>
      <w:r w:rsidR="000C6199" w:rsidRPr="001C0949">
        <w:t>o.p</w:t>
      </w:r>
      <w:proofErr w:type="spellEnd"/>
      <w:r w:rsidR="000C6199" w:rsidRPr="001C0949">
        <w:t>. pisma kierowane do organów podatkowych mogą być sporządzane na piśmie utrwalonym w postaci papierowej lub elektronicznej.</w:t>
      </w:r>
      <w:r w:rsidR="009C5459" w:rsidRPr="001C0949">
        <w:t xml:space="preserve"> </w:t>
      </w:r>
      <w:r w:rsidR="00E860AE" w:rsidRPr="001C0949">
        <w:t>P</w:t>
      </w:r>
      <w:r w:rsidR="009C5459" w:rsidRPr="001C0949">
        <w:t>rzepisy Ordynacji podatkowe</w:t>
      </w:r>
      <w:r w:rsidR="00332575" w:rsidRPr="001C0949">
        <w:t xml:space="preserve">j wskazują, że dla skuteczności oświadczenia złożonego w </w:t>
      </w:r>
      <w:r w:rsidR="00D43D6F" w:rsidRPr="001C0949">
        <w:t>postaci papierowej konieczne jest opatrzenie go własnoręcznym podpisem. Natomias</w:t>
      </w:r>
      <w:r w:rsidR="00C224CA" w:rsidRPr="001C0949">
        <w:t xml:space="preserve">t </w:t>
      </w:r>
      <w:r w:rsidR="00223EBF" w:rsidRPr="001C0949">
        <w:t>w przypadku złożenia</w:t>
      </w:r>
      <w:r w:rsidR="004D4E50" w:rsidRPr="001C0949">
        <w:t xml:space="preserve"> </w:t>
      </w:r>
      <w:r w:rsidR="00746243" w:rsidRPr="001C0949">
        <w:t>oświadczeni</w:t>
      </w:r>
      <w:r w:rsidR="00223EBF" w:rsidRPr="001C0949">
        <w:t>a</w:t>
      </w:r>
      <w:r w:rsidR="004D4E50" w:rsidRPr="001C0949">
        <w:t xml:space="preserve"> woli w postaci elektroniczne</w:t>
      </w:r>
      <w:r w:rsidR="00223EBF" w:rsidRPr="001C0949">
        <w:t>j</w:t>
      </w:r>
      <w:r w:rsidR="00C224CA" w:rsidRPr="001C0949">
        <w:t xml:space="preserve"> podatnik</w:t>
      </w:r>
      <w:r w:rsidR="004D4E50" w:rsidRPr="001C0949">
        <w:t xml:space="preserve"> </w:t>
      </w:r>
      <w:r w:rsidR="006D17E1" w:rsidRPr="001C0949">
        <w:t xml:space="preserve">ma obowiązek </w:t>
      </w:r>
      <w:r w:rsidR="00F96D48" w:rsidRPr="001C0949">
        <w:t xml:space="preserve">podpisać </w:t>
      </w:r>
      <w:r w:rsidR="00193EAE" w:rsidRPr="001C0949">
        <w:t xml:space="preserve">je </w:t>
      </w:r>
      <w:r w:rsidR="0019141D" w:rsidRPr="001C0949">
        <w:t xml:space="preserve">m.in. </w:t>
      </w:r>
      <w:r w:rsidR="00316491" w:rsidRPr="001C0949">
        <w:t>k</w:t>
      </w:r>
      <w:r w:rsidR="00746243" w:rsidRPr="001C0949">
        <w:t>walifikowanym podpisem elektronicznym albo podpisem zaufanym</w:t>
      </w:r>
      <w:r w:rsidR="002241F9">
        <w:rPr>
          <w:rStyle w:val="Odwoanieprzypisudolnego"/>
        </w:rPr>
        <w:footnoteReference w:id="22"/>
      </w:r>
      <w:r w:rsidR="00746243" w:rsidRPr="001C0949">
        <w:t>.</w:t>
      </w:r>
      <w:r w:rsidR="00193EAE" w:rsidRPr="001C0949">
        <w:t xml:space="preserve"> </w:t>
      </w:r>
      <w:r w:rsidR="00647327" w:rsidRPr="001C0949">
        <w:t xml:space="preserve">Naczelny Sąd Administracyjny trafnie </w:t>
      </w:r>
      <w:r w:rsidR="008D1386" w:rsidRPr="001C0949">
        <w:t xml:space="preserve">wskazał, że zwrot „sporządzić coś na piśmie”, o którym mowa w art. 9a ust. 2 </w:t>
      </w:r>
      <w:proofErr w:type="spellStart"/>
      <w:r w:rsidR="008D1386" w:rsidRPr="001C0949">
        <w:t>u.p.d.o.f</w:t>
      </w:r>
      <w:proofErr w:type="spellEnd"/>
      <w:r w:rsidR="008D1386" w:rsidRPr="001C0949">
        <w:t xml:space="preserve">. </w:t>
      </w:r>
      <w:r w:rsidR="005A5AB2" w:rsidRPr="001C0949">
        <w:t xml:space="preserve">oznacza, że treść oświadczenia woli, które składa podatnik, powinna być </w:t>
      </w:r>
      <w:r w:rsidR="00262E32" w:rsidRPr="001C0949">
        <w:t xml:space="preserve">wyrażona za pomocą </w:t>
      </w:r>
      <w:r w:rsidR="00AD04D9" w:rsidRPr="001C0949">
        <w:t xml:space="preserve">znaków alfabetu. </w:t>
      </w:r>
      <w:r w:rsidR="004C3720" w:rsidRPr="001C0949">
        <w:t>Jednak konieczność podpisani</w:t>
      </w:r>
      <w:r w:rsidR="004379F7" w:rsidRPr="001C0949">
        <w:t>a</w:t>
      </w:r>
      <w:r w:rsidR="00720F8B" w:rsidRPr="001C0949">
        <w:t xml:space="preserve"> treści oświadczenia woli o zmianie formy opodatkowania nie wynika z samej istoty formy pisemnej</w:t>
      </w:r>
      <w:r w:rsidR="00756F54" w:rsidRPr="001C0949">
        <w:t xml:space="preserve"> </w:t>
      </w:r>
      <w:r w:rsidR="004379F7" w:rsidRPr="001C0949">
        <w:t>czynności</w:t>
      </w:r>
      <w:r w:rsidR="00756F54" w:rsidRPr="001C0949">
        <w:t xml:space="preserve"> prawnej, a</w:t>
      </w:r>
      <w:r w:rsidR="00EC30AE" w:rsidRPr="001C0949">
        <w:t xml:space="preserve"> z przepisów prawa</w:t>
      </w:r>
      <w:r w:rsidR="00611288" w:rsidRPr="001C0949">
        <w:rPr>
          <w:rStyle w:val="Odwoanieprzypisudolnego"/>
        </w:rPr>
        <w:footnoteReference w:id="23"/>
      </w:r>
      <w:r w:rsidR="00EC30AE" w:rsidRPr="001C0949">
        <w:t xml:space="preserve">. </w:t>
      </w:r>
      <w:r w:rsidR="00C72E44" w:rsidRPr="001C0949">
        <w:t xml:space="preserve">W badanej sprawie wymóg ten </w:t>
      </w:r>
      <w:r w:rsidR="00E84B9B" w:rsidRPr="001C0949">
        <w:t xml:space="preserve">ma swoje źródło w normie wywiedzionej </w:t>
      </w:r>
      <w:r w:rsidR="00C72E44" w:rsidRPr="001C0949">
        <w:t xml:space="preserve">z przepisu art. 126 </w:t>
      </w:r>
      <w:proofErr w:type="spellStart"/>
      <w:r w:rsidR="00C72E44" w:rsidRPr="001C0949">
        <w:t>o.p</w:t>
      </w:r>
      <w:proofErr w:type="spellEnd"/>
      <w:r w:rsidR="00C72E44" w:rsidRPr="001C0949">
        <w:t>.</w:t>
      </w:r>
      <w:r w:rsidR="00A6262E" w:rsidRPr="001C0949">
        <w:t xml:space="preserve"> </w:t>
      </w:r>
    </w:p>
    <w:p w14:paraId="7983448D" w14:textId="7BC10CD4" w:rsidR="00685B13" w:rsidRPr="001C0949" w:rsidRDefault="00455F36" w:rsidP="00A6262E">
      <w:pPr>
        <w:spacing w:after="0" w:line="360" w:lineRule="auto"/>
        <w:ind w:firstLine="360"/>
        <w:jc w:val="both"/>
      </w:pPr>
      <w:r w:rsidRPr="001C0949">
        <w:t>Zasadne wydaje się w tym momencie, czego nie uczynił NSA, rozróżnienie dwóch pojęć: formy i posta</w:t>
      </w:r>
      <w:r w:rsidR="00137D22" w:rsidRPr="001C0949">
        <w:t>ci</w:t>
      </w:r>
      <w:r w:rsidRPr="001C0949">
        <w:t xml:space="preserve"> oświadczenia woli. </w:t>
      </w:r>
      <w:r w:rsidR="003659C9" w:rsidRPr="001C0949">
        <w:t xml:space="preserve">O postaci </w:t>
      </w:r>
      <w:r w:rsidR="00217B52" w:rsidRPr="001C0949">
        <w:t xml:space="preserve">mowa w kontekście uzewnętrznienia </w:t>
      </w:r>
      <w:r w:rsidR="00B66BEF" w:rsidRPr="001C0949">
        <w:t xml:space="preserve">oświadczenia </w:t>
      </w:r>
      <w:r w:rsidR="00217B52" w:rsidRPr="001C0949">
        <w:t>woli,</w:t>
      </w:r>
      <w:r w:rsidR="00B66BEF" w:rsidRPr="001C0949">
        <w:t xml:space="preserve"> dlatego w art. 60 k.c. ustawodawca posługuje się pojęciem postać, a nie forma. </w:t>
      </w:r>
      <w:r w:rsidR="00805580" w:rsidRPr="001C0949">
        <w:t>Fo</w:t>
      </w:r>
      <w:r w:rsidR="000E4159" w:rsidRPr="001C0949">
        <w:t>rma</w:t>
      </w:r>
      <w:r w:rsidR="00805580" w:rsidRPr="001C0949">
        <w:t xml:space="preserve"> natomiast</w:t>
      </w:r>
      <w:r w:rsidR="000E4159" w:rsidRPr="001C0949">
        <w:t xml:space="preserve"> odnosi się do </w:t>
      </w:r>
      <w:r w:rsidR="002B4D77" w:rsidRPr="001C0949">
        <w:t>utrwalenia</w:t>
      </w:r>
      <w:r w:rsidR="003A17B5" w:rsidRPr="001C0949">
        <w:t xml:space="preserve"> oświadczenia woli</w:t>
      </w:r>
      <w:r w:rsidR="002B4D77" w:rsidRPr="001C0949">
        <w:t xml:space="preserve">. Forma czynności prawnej jest określona ustawowo, </w:t>
      </w:r>
      <w:r w:rsidR="00B943E9" w:rsidRPr="001C0949">
        <w:t>a oprócz tego wskazane są skutki jej niedochowania</w:t>
      </w:r>
      <w:r w:rsidR="00A11576" w:rsidRPr="001C0949">
        <w:rPr>
          <w:rStyle w:val="Odwoanieprzypisudolnego"/>
        </w:rPr>
        <w:footnoteReference w:id="24"/>
      </w:r>
      <w:r w:rsidR="00B943E9" w:rsidRPr="001C0949">
        <w:t>.</w:t>
      </w:r>
      <w:r w:rsidR="00335774" w:rsidRPr="001C0949">
        <w:t xml:space="preserve"> Pozwala to więc przyjąć</w:t>
      </w:r>
      <w:r w:rsidR="000B18FE" w:rsidRPr="001C0949">
        <w:t>, że oświadczenie</w:t>
      </w:r>
      <w:r w:rsidR="00730ED8" w:rsidRPr="001C0949">
        <w:t xml:space="preserve">, o którym mowa w art. 9a ust. 2 </w:t>
      </w:r>
      <w:proofErr w:type="spellStart"/>
      <w:r w:rsidR="007D532C" w:rsidRPr="001C0949">
        <w:t>u.p.d.o.f</w:t>
      </w:r>
      <w:proofErr w:type="spellEnd"/>
      <w:r w:rsidR="007D532C" w:rsidRPr="001C0949">
        <w:t>.,</w:t>
      </w:r>
      <w:r w:rsidR="00730ED8" w:rsidRPr="001C0949">
        <w:t xml:space="preserve"> </w:t>
      </w:r>
      <w:r w:rsidR="006558A8" w:rsidRPr="001C0949">
        <w:t xml:space="preserve">może zostać złożone w </w:t>
      </w:r>
      <w:r w:rsidR="00017C71" w:rsidRPr="001C0949">
        <w:t xml:space="preserve">formie </w:t>
      </w:r>
      <w:r w:rsidR="006558A8" w:rsidRPr="001C0949">
        <w:t>pisemnej</w:t>
      </w:r>
      <w:r w:rsidR="005C6D15" w:rsidRPr="001C0949">
        <w:t xml:space="preserve"> i przybrać </w:t>
      </w:r>
      <w:r w:rsidR="00017C71" w:rsidRPr="001C0949">
        <w:t>postać papierową albo elektroniczną</w:t>
      </w:r>
      <w:r w:rsidR="00123E30" w:rsidRPr="001C0949">
        <w:t>.</w:t>
      </w:r>
      <w:r w:rsidR="00A6623C" w:rsidRPr="001C0949">
        <w:t xml:space="preserve"> Bez uwzględnienia kontekstu </w:t>
      </w:r>
      <w:r w:rsidR="0097184C" w:rsidRPr="001C0949">
        <w:t xml:space="preserve">wykładni </w:t>
      </w:r>
      <w:r w:rsidR="00A6623C" w:rsidRPr="001C0949">
        <w:t>systemowe</w:t>
      </w:r>
      <w:r w:rsidR="0097184C" w:rsidRPr="001C0949">
        <w:t>j i funkcjonalnej</w:t>
      </w:r>
      <w:r w:rsidR="00D978AA" w:rsidRPr="001C0949">
        <w:t xml:space="preserve"> </w:t>
      </w:r>
      <w:r w:rsidR="00123E30" w:rsidRPr="001C0949">
        <w:t>oznaczało</w:t>
      </w:r>
      <w:r w:rsidR="00724CB5" w:rsidRPr="001C0949">
        <w:t>by</w:t>
      </w:r>
      <w:r w:rsidR="000218AC" w:rsidRPr="001C0949">
        <w:t xml:space="preserve"> to</w:t>
      </w:r>
      <w:r w:rsidR="00724CB5" w:rsidRPr="001C0949">
        <w:t xml:space="preserve">, że podatnik może złożyć oświadczenie o wyborze </w:t>
      </w:r>
      <w:r w:rsidR="003F5C72" w:rsidRPr="001C0949">
        <w:t>opodatkowania z zastosowaniem stawki 19</w:t>
      </w:r>
      <w:r w:rsidR="00C2692B" w:rsidRPr="001C0949">
        <w:t>%</w:t>
      </w:r>
      <w:r w:rsidR="00D2058C" w:rsidRPr="001C0949">
        <w:t xml:space="preserve"> za pośrednictwem </w:t>
      </w:r>
      <w:r w:rsidR="00C56803" w:rsidRPr="001C0949">
        <w:t>poczty elektronicznej</w:t>
      </w:r>
      <w:r w:rsidR="00D2058C" w:rsidRPr="001C0949">
        <w:t xml:space="preserve"> czy </w:t>
      </w:r>
      <w:r w:rsidR="000218AC" w:rsidRPr="001C0949">
        <w:t xml:space="preserve">nawet </w:t>
      </w:r>
      <w:r w:rsidR="00C56803" w:rsidRPr="001C0949">
        <w:t>SMS</w:t>
      </w:r>
      <w:r w:rsidR="00D2058C" w:rsidRPr="001C0949">
        <w:t>.</w:t>
      </w:r>
      <w:r w:rsidR="00B5328F" w:rsidRPr="001C0949">
        <w:t xml:space="preserve"> Przepis art. 9a</w:t>
      </w:r>
      <w:r w:rsidR="00D978AA" w:rsidRPr="001C0949">
        <w:t xml:space="preserve"> </w:t>
      </w:r>
      <w:r w:rsidR="009C58CD" w:rsidRPr="001C0949">
        <w:t xml:space="preserve">ust. 2 </w:t>
      </w:r>
      <w:proofErr w:type="spellStart"/>
      <w:r w:rsidR="00D978AA" w:rsidRPr="001C0949">
        <w:t>u.p.d.o.f</w:t>
      </w:r>
      <w:proofErr w:type="spellEnd"/>
      <w:r w:rsidR="00D978AA" w:rsidRPr="001C0949">
        <w:t>.</w:t>
      </w:r>
      <w:r w:rsidR="00B5328F" w:rsidRPr="001C0949">
        <w:t xml:space="preserve"> </w:t>
      </w:r>
      <w:r w:rsidR="00C871C3" w:rsidRPr="001C0949">
        <w:t xml:space="preserve">nie jest odosobnionym </w:t>
      </w:r>
      <w:r w:rsidR="00B5328F" w:rsidRPr="001C0949">
        <w:t xml:space="preserve">przykładem wadliwej legislacji </w:t>
      </w:r>
      <w:r w:rsidR="008A5397" w:rsidRPr="001C0949">
        <w:t>przy</w:t>
      </w:r>
      <w:r w:rsidR="00F85E36" w:rsidRPr="001C0949">
        <w:t xml:space="preserve"> </w:t>
      </w:r>
      <w:r w:rsidR="009E7934" w:rsidRPr="001C0949">
        <w:t>określa</w:t>
      </w:r>
      <w:r w:rsidR="008C46AC" w:rsidRPr="001C0949">
        <w:t>niu</w:t>
      </w:r>
      <w:r w:rsidR="009E7934" w:rsidRPr="001C0949">
        <w:t xml:space="preserve"> przez ustawodawcę </w:t>
      </w:r>
      <w:r w:rsidR="0098147B" w:rsidRPr="001C0949">
        <w:t xml:space="preserve">formy i postaci </w:t>
      </w:r>
      <w:r w:rsidR="00F85E36" w:rsidRPr="001C0949">
        <w:t xml:space="preserve">dokonywania </w:t>
      </w:r>
      <w:r w:rsidR="00F85E36" w:rsidRPr="001C0949">
        <w:lastRenderedPageBreak/>
        <w:t>czynności prawnych. Zgodnie z art. 7</w:t>
      </w:r>
      <w:r w:rsidR="009E7934" w:rsidRPr="001C0949">
        <w:t xml:space="preserve"> ust. 1 pr. bank.</w:t>
      </w:r>
      <w:r w:rsidR="00070722" w:rsidRPr="001C0949">
        <w:t xml:space="preserve"> oświadczenia woli związane z </w:t>
      </w:r>
      <w:r w:rsidR="0066326C" w:rsidRPr="001C0949">
        <w:t>wykony</w:t>
      </w:r>
      <w:r w:rsidR="00070722" w:rsidRPr="001C0949">
        <w:t xml:space="preserve">waniem czynności bankowych mogą być składane w postaci elektronicznej. </w:t>
      </w:r>
      <w:r w:rsidR="00F4220E" w:rsidRPr="001C0949">
        <w:t>Natomiast w myśl art. 7 ust. 2 pr. bank.</w:t>
      </w:r>
      <w:r w:rsidR="005627B0" w:rsidRPr="001C0949">
        <w:t>, j</w:t>
      </w:r>
      <w:r w:rsidR="00F4220E" w:rsidRPr="001C0949">
        <w:t xml:space="preserve">eżeli ustawa zastrzega dla czynności prawnej formę pisemną, </w:t>
      </w:r>
      <w:r w:rsidR="0019184E" w:rsidRPr="001C0949">
        <w:t xml:space="preserve">to </w:t>
      </w:r>
      <w:r w:rsidR="00F4220E" w:rsidRPr="001C0949">
        <w:t xml:space="preserve">uznaje się, że czynność dokonana w </w:t>
      </w:r>
      <w:r w:rsidR="009A7C27" w:rsidRPr="001C0949">
        <w:t>formie</w:t>
      </w:r>
      <w:r w:rsidR="00F4220E" w:rsidRPr="001C0949">
        <w:t xml:space="preserve"> wskazanej w</w:t>
      </w:r>
      <w:r w:rsidR="009A7C27" w:rsidRPr="001C0949">
        <w:t xml:space="preserve"> ust. </w:t>
      </w:r>
      <w:r w:rsidR="00F4220E" w:rsidRPr="001C0949">
        <w:t>1 spełnia wymagania formy pisemnej</w:t>
      </w:r>
      <w:r w:rsidR="00625652" w:rsidRPr="001C0949">
        <w:t>.</w:t>
      </w:r>
      <w:r w:rsidR="007677F0" w:rsidRPr="001C0949">
        <w:t xml:space="preserve"> </w:t>
      </w:r>
      <w:r w:rsidR="00625652" w:rsidRPr="001C0949">
        <w:t>N</w:t>
      </w:r>
      <w:r w:rsidR="007677F0" w:rsidRPr="001C0949">
        <w:t>awe</w:t>
      </w:r>
      <w:r w:rsidR="00625652" w:rsidRPr="001C0949">
        <w:t>t wówczas,</w:t>
      </w:r>
      <w:r w:rsidR="00F4220E" w:rsidRPr="001C0949">
        <w:t xml:space="preserve"> gdy forma została zastrzeżona pod rygorem nieważności</w:t>
      </w:r>
      <w:r w:rsidR="005627B0" w:rsidRPr="001C0949">
        <w:t xml:space="preserve">. </w:t>
      </w:r>
      <w:r w:rsidR="001F1FBC" w:rsidRPr="001C0949">
        <w:t>U</w:t>
      </w:r>
      <w:r w:rsidR="0036440F" w:rsidRPr="001C0949">
        <w:t xml:space="preserve">stawodawca </w:t>
      </w:r>
      <w:r w:rsidR="00B438C9" w:rsidRPr="001C0949">
        <w:t>wymiennie</w:t>
      </w:r>
      <w:r w:rsidR="00647630" w:rsidRPr="001C0949">
        <w:t xml:space="preserve"> </w:t>
      </w:r>
      <w:r w:rsidR="00492FAC" w:rsidRPr="001C0949">
        <w:t>posługuje się pojęciem posta</w:t>
      </w:r>
      <w:r w:rsidR="001F1FBC" w:rsidRPr="001C0949">
        <w:t>ci</w:t>
      </w:r>
      <w:r w:rsidR="002D3ABF" w:rsidRPr="001C0949">
        <w:t xml:space="preserve"> oraz </w:t>
      </w:r>
      <w:r w:rsidR="00492FAC" w:rsidRPr="001C0949">
        <w:t xml:space="preserve">używa pojęcia forma. </w:t>
      </w:r>
      <w:r w:rsidR="00403637" w:rsidRPr="001C0949">
        <w:t xml:space="preserve">W </w:t>
      </w:r>
      <w:r w:rsidR="006103F0" w:rsidRPr="001C0949">
        <w:t>piśmiennictwie</w:t>
      </w:r>
      <w:r w:rsidR="001A5AA1" w:rsidRPr="001C0949">
        <w:t xml:space="preserve"> </w:t>
      </w:r>
      <w:r w:rsidR="00BF5DB5" w:rsidRPr="001C0949">
        <w:t xml:space="preserve">słusznie zwraca się uwagę na to, że przepis art. 7 ust. 1 pr. </w:t>
      </w:r>
      <w:r w:rsidR="007E3C82" w:rsidRPr="001C0949">
        <w:t>b</w:t>
      </w:r>
      <w:r w:rsidR="00BF5DB5" w:rsidRPr="001C0949">
        <w:t>ank.</w:t>
      </w:r>
      <w:r w:rsidR="006103F0" w:rsidRPr="001C0949">
        <w:t xml:space="preserve"> </w:t>
      </w:r>
      <w:r w:rsidR="007E3C82" w:rsidRPr="001C0949">
        <w:t>nie precyzuje</w:t>
      </w:r>
      <w:r w:rsidR="008A0E36" w:rsidRPr="001C0949">
        <w:t xml:space="preserve">, czy oświadczenie woli składane w związku z wykonywaniem czynności </w:t>
      </w:r>
      <w:r w:rsidR="004C69D7" w:rsidRPr="001C0949">
        <w:t>bankowych</w:t>
      </w:r>
      <w:r w:rsidR="008A0E36" w:rsidRPr="001C0949">
        <w:t xml:space="preserve"> powinn</w:t>
      </w:r>
      <w:r w:rsidR="004C69D7" w:rsidRPr="001C0949">
        <w:t>o</w:t>
      </w:r>
      <w:r w:rsidR="008A0E36" w:rsidRPr="001C0949">
        <w:t xml:space="preserve"> zostać</w:t>
      </w:r>
      <w:r w:rsidR="007E3C82" w:rsidRPr="001C0949">
        <w:t xml:space="preserve"> </w:t>
      </w:r>
      <w:r w:rsidR="008A0E36" w:rsidRPr="001C0949">
        <w:t>opatrzone</w:t>
      </w:r>
      <w:r w:rsidR="007E3C82" w:rsidRPr="001C0949">
        <w:t xml:space="preserve"> kwalifikowanym podpisem elektronicznym</w:t>
      </w:r>
      <w:r w:rsidR="008A0E36" w:rsidRPr="001C0949">
        <w:rPr>
          <w:rStyle w:val="Odwoanieprzypisudolnego"/>
        </w:rPr>
        <w:footnoteReference w:id="25"/>
      </w:r>
      <w:r w:rsidR="007E3C82" w:rsidRPr="001C0949">
        <w:t xml:space="preserve">. </w:t>
      </w:r>
      <w:r w:rsidR="00691079" w:rsidRPr="001C0949">
        <w:t>Sądy dokonując wykładni przepisu art. 7</w:t>
      </w:r>
      <w:r w:rsidR="00C80C2A" w:rsidRPr="001C0949">
        <w:t xml:space="preserve"> ust. 1</w:t>
      </w:r>
      <w:r w:rsidR="00691079" w:rsidRPr="001C0949">
        <w:t xml:space="preserve"> pr. bank.</w:t>
      </w:r>
      <w:r w:rsidR="00133EF5" w:rsidRPr="001C0949">
        <w:t xml:space="preserve"> nie skupiają się jedynie na rezultacie wykładni językowej</w:t>
      </w:r>
      <w:r w:rsidR="00E03A43" w:rsidRPr="001C0949">
        <w:t xml:space="preserve">. </w:t>
      </w:r>
      <w:r w:rsidR="00712BA8" w:rsidRPr="001C0949">
        <w:t>D</w:t>
      </w:r>
      <w:r w:rsidR="00D9060B" w:rsidRPr="001C0949">
        <w:t>ostrzegają</w:t>
      </w:r>
      <w:r w:rsidR="00E03A43" w:rsidRPr="001C0949">
        <w:t xml:space="preserve"> bowiem</w:t>
      </w:r>
      <w:r w:rsidR="00D9060B" w:rsidRPr="001C0949">
        <w:t xml:space="preserve"> potrzebę </w:t>
      </w:r>
      <w:r w:rsidR="006C3177" w:rsidRPr="001C0949">
        <w:t xml:space="preserve">uwzględnienia normy wynikającej z przepisu </w:t>
      </w:r>
      <w:r w:rsidR="004535F7" w:rsidRPr="001C0949">
        <w:t>art. 78</w:t>
      </w:r>
      <w:r w:rsidR="004535F7" w:rsidRPr="001C0949">
        <w:rPr>
          <w:vertAlign w:val="superscript"/>
        </w:rPr>
        <w:t>1</w:t>
      </w:r>
      <w:r w:rsidR="004535F7" w:rsidRPr="001C0949">
        <w:t> k.c.</w:t>
      </w:r>
      <w:r w:rsidR="002758B0" w:rsidRPr="001C0949">
        <w:t xml:space="preserve"> </w:t>
      </w:r>
      <w:r w:rsidR="00712BA8" w:rsidRPr="001C0949">
        <w:t xml:space="preserve">i konieczność </w:t>
      </w:r>
      <w:r w:rsidR="00AD7CB6" w:rsidRPr="001C0949">
        <w:t>opatrzenia oświadczenia woli kwalif</w:t>
      </w:r>
      <w:r w:rsidR="00E03A43" w:rsidRPr="001C0949">
        <w:t>ikowanym podpisem elektronicznym</w:t>
      </w:r>
      <w:r w:rsidR="009F32CD" w:rsidRPr="001C0949">
        <w:rPr>
          <w:rStyle w:val="Odwoanieprzypisudolnego"/>
        </w:rPr>
        <w:footnoteReference w:id="26"/>
      </w:r>
      <w:r w:rsidR="00E03A43" w:rsidRPr="001C0949">
        <w:t xml:space="preserve">. </w:t>
      </w:r>
    </w:p>
    <w:p w14:paraId="179ED590" w14:textId="634B83E3" w:rsidR="0082238D" w:rsidRPr="001C0949" w:rsidRDefault="00C70733" w:rsidP="00953AB2">
      <w:pPr>
        <w:spacing w:after="0" w:line="360" w:lineRule="auto"/>
        <w:ind w:firstLine="360"/>
        <w:jc w:val="both"/>
      </w:pPr>
      <w:r w:rsidRPr="001C0949">
        <w:t xml:space="preserve">W </w:t>
      </w:r>
      <w:proofErr w:type="spellStart"/>
      <w:r w:rsidRPr="001C0949">
        <w:t>glosowanym</w:t>
      </w:r>
      <w:proofErr w:type="spellEnd"/>
      <w:r w:rsidRPr="001C0949">
        <w:t xml:space="preserve"> orzeczeniu NSA </w:t>
      </w:r>
      <w:r w:rsidR="002109EC" w:rsidRPr="001C0949">
        <w:t>rozstrzygając</w:t>
      </w:r>
      <w:r w:rsidR="002A4D87" w:rsidRPr="001C0949">
        <w:t xml:space="preserve"> o tym, </w:t>
      </w:r>
      <w:r w:rsidR="002109EC" w:rsidRPr="001C0949">
        <w:t xml:space="preserve">czy oświadczenie złożone w </w:t>
      </w:r>
      <w:r w:rsidR="00BB45D7" w:rsidRPr="001C0949">
        <w:t>treści tytułu polecenia</w:t>
      </w:r>
      <w:r w:rsidR="002109EC" w:rsidRPr="001C0949">
        <w:t xml:space="preserve"> przelewu bankowego czyni zadość wymogom określonym w przepisie art. 9a </w:t>
      </w:r>
      <w:r w:rsidR="00B17C95" w:rsidRPr="001C0949">
        <w:t xml:space="preserve">ust. 2 </w:t>
      </w:r>
      <w:proofErr w:type="spellStart"/>
      <w:r w:rsidR="00B17C95" w:rsidRPr="001C0949">
        <w:t>u.p.d.o.f</w:t>
      </w:r>
      <w:proofErr w:type="spellEnd"/>
      <w:r w:rsidR="00B17C95" w:rsidRPr="001C0949">
        <w:t>.</w:t>
      </w:r>
      <w:r w:rsidR="009E2D21" w:rsidRPr="001C0949">
        <w:t>,</w:t>
      </w:r>
      <w:r w:rsidR="00B346D2" w:rsidRPr="001C0949">
        <w:t xml:space="preserve"> </w:t>
      </w:r>
      <w:r w:rsidR="00B17C95" w:rsidRPr="001C0949">
        <w:t>powinie</w:t>
      </w:r>
      <w:r w:rsidR="004448AE" w:rsidRPr="001C0949">
        <w:t>n</w:t>
      </w:r>
      <w:r w:rsidR="002A4D87" w:rsidRPr="001C0949">
        <w:t xml:space="preserve"> </w:t>
      </w:r>
      <w:r w:rsidR="000D64E2" w:rsidRPr="001C0949">
        <w:t>uwzględnić szerszy kontekst interpretacyjny.</w:t>
      </w:r>
      <w:r w:rsidR="00F17940" w:rsidRPr="001C0949">
        <w:t xml:space="preserve"> </w:t>
      </w:r>
      <w:r w:rsidR="00D965BF" w:rsidRPr="001C0949">
        <w:t>Możliwość o</w:t>
      </w:r>
      <w:r w:rsidR="007F71F4" w:rsidRPr="001C0949">
        <w:t>podatkowani</w:t>
      </w:r>
      <w:r w:rsidR="00D965BF" w:rsidRPr="001C0949">
        <w:t>a</w:t>
      </w:r>
      <w:r w:rsidR="007F71F4" w:rsidRPr="001C0949">
        <w:t xml:space="preserve"> </w:t>
      </w:r>
      <w:r w:rsidR="00A716B2" w:rsidRPr="001C0949">
        <w:t>podatkiem</w:t>
      </w:r>
      <w:r w:rsidR="009E2D21" w:rsidRPr="001C0949">
        <w:t xml:space="preserve"> proporcjonalnym </w:t>
      </w:r>
      <w:r w:rsidR="00A716B2" w:rsidRPr="001C0949">
        <w:t>jest wyjątkiem od zasa</w:t>
      </w:r>
      <w:r w:rsidR="00535183" w:rsidRPr="001C0949">
        <w:t>dy</w:t>
      </w:r>
      <w:r w:rsidR="00A212EF" w:rsidRPr="001C0949">
        <w:t xml:space="preserve"> opodatkowania według skali progresywnej</w:t>
      </w:r>
      <w:r w:rsidR="00535183" w:rsidRPr="001C0949">
        <w:t xml:space="preserve">. Jeśli podatnik nie złoży organowi podatkowemu oświadczenia sporządzonego na piśmie, to osiągane przez niego dochody będą opodatkowanie </w:t>
      </w:r>
      <w:r w:rsidR="006A64C6" w:rsidRPr="001C0949">
        <w:t>według</w:t>
      </w:r>
      <w:r w:rsidR="005051AF" w:rsidRPr="001C0949">
        <w:t xml:space="preserve"> progresywnej</w:t>
      </w:r>
      <w:r w:rsidR="006A64C6" w:rsidRPr="001C0949">
        <w:t xml:space="preserve"> skali podatkowej</w:t>
      </w:r>
      <w:r w:rsidR="001E5F10" w:rsidRPr="001C0949">
        <w:t>.</w:t>
      </w:r>
      <w:r w:rsidR="006A64C6" w:rsidRPr="001C0949">
        <w:t xml:space="preserve"> </w:t>
      </w:r>
      <w:r w:rsidR="00FC316E" w:rsidRPr="001C0949">
        <w:t xml:space="preserve">Wybór </w:t>
      </w:r>
      <w:r w:rsidR="0030566B" w:rsidRPr="001C0949">
        <w:t xml:space="preserve">formy </w:t>
      </w:r>
      <w:r w:rsidR="00AE6B1C" w:rsidRPr="001C0949">
        <w:t>opodatkowania</w:t>
      </w:r>
      <w:r w:rsidR="00FC316E" w:rsidRPr="001C0949">
        <w:t xml:space="preserve"> </w:t>
      </w:r>
      <w:r w:rsidR="001B3F30" w:rsidRPr="001C0949">
        <w:t xml:space="preserve">według stałej stawki podatkowej </w:t>
      </w:r>
      <w:r w:rsidR="00FC316E" w:rsidRPr="001C0949">
        <w:t xml:space="preserve">powinien </w:t>
      </w:r>
      <w:r w:rsidR="00F748D1" w:rsidRPr="001C0949">
        <w:t xml:space="preserve">być </w:t>
      </w:r>
      <w:r w:rsidR="001B3F30" w:rsidRPr="001C0949">
        <w:t xml:space="preserve">zatem </w:t>
      </w:r>
      <w:r w:rsidR="00F748D1" w:rsidRPr="001C0949">
        <w:t>dokonany w sposób jednoznaczny</w:t>
      </w:r>
      <w:r w:rsidR="007E378A" w:rsidRPr="001C0949">
        <w:t>, a więc niebudzący</w:t>
      </w:r>
      <w:r w:rsidR="0066343B" w:rsidRPr="001C0949">
        <w:t xml:space="preserve"> </w:t>
      </w:r>
      <w:r w:rsidR="007E378A" w:rsidRPr="001C0949">
        <w:t>wątpliwości</w:t>
      </w:r>
      <w:r w:rsidR="002111A9" w:rsidRPr="001C0949">
        <w:t xml:space="preserve">. Złożenie oświadczenia woli w </w:t>
      </w:r>
      <w:r w:rsidR="0030566B" w:rsidRPr="001C0949">
        <w:t>treści tytułu</w:t>
      </w:r>
      <w:r w:rsidR="002111A9" w:rsidRPr="001C0949">
        <w:t xml:space="preserve"> </w:t>
      </w:r>
      <w:r w:rsidR="00DB2652" w:rsidRPr="001C0949">
        <w:t xml:space="preserve">polecenia </w:t>
      </w:r>
      <w:r w:rsidR="002111A9" w:rsidRPr="001C0949">
        <w:t xml:space="preserve">przelewu zdaje się </w:t>
      </w:r>
      <w:r w:rsidR="009F54D5" w:rsidRPr="001C0949">
        <w:t xml:space="preserve">pozostawiać </w:t>
      </w:r>
      <w:r w:rsidR="00CA0428" w:rsidRPr="001C0949">
        <w:t>wątpliwości</w:t>
      </w:r>
      <w:r w:rsidR="00214DDC" w:rsidRPr="001C0949">
        <w:t xml:space="preserve"> co do wyboru </w:t>
      </w:r>
      <w:r w:rsidR="0030566B" w:rsidRPr="001C0949">
        <w:t>formy</w:t>
      </w:r>
      <w:r w:rsidR="00214DDC" w:rsidRPr="001C0949">
        <w:t xml:space="preserve"> opodatkowania</w:t>
      </w:r>
      <w:r w:rsidR="009F54D5" w:rsidRPr="001C0949">
        <w:t xml:space="preserve">. </w:t>
      </w:r>
      <w:r w:rsidR="003A3C8E" w:rsidRPr="001C0949">
        <w:t>Po pierwsze, n</w:t>
      </w:r>
      <w:r w:rsidR="00831D21" w:rsidRPr="001C0949">
        <w:t xml:space="preserve">ie </w:t>
      </w:r>
      <w:r w:rsidR="00153C0E" w:rsidRPr="001C0949">
        <w:t xml:space="preserve">zawsze </w:t>
      </w:r>
      <w:r w:rsidR="00831D21" w:rsidRPr="001C0949">
        <w:t xml:space="preserve">z treści tytułu </w:t>
      </w:r>
      <w:r w:rsidR="00DB2652" w:rsidRPr="001C0949">
        <w:t xml:space="preserve">polecenia </w:t>
      </w:r>
      <w:r w:rsidR="00831D21" w:rsidRPr="001C0949">
        <w:t xml:space="preserve">przelewu </w:t>
      </w:r>
      <w:r w:rsidR="003A3C8E" w:rsidRPr="001C0949">
        <w:t xml:space="preserve">będzie </w:t>
      </w:r>
      <w:r w:rsidR="00765A6A" w:rsidRPr="001C0949">
        <w:t>wynika</w:t>
      </w:r>
      <w:r w:rsidR="003A3C8E" w:rsidRPr="001C0949">
        <w:t>ć</w:t>
      </w:r>
      <w:r w:rsidR="00765A6A" w:rsidRPr="001C0949">
        <w:t xml:space="preserve"> wprost, </w:t>
      </w:r>
      <w:r w:rsidR="00616EFA" w:rsidRPr="001C0949">
        <w:t xml:space="preserve">że podatnik </w:t>
      </w:r>
      <w:r w:rsidR="00477074" w:rsidRPr="001C0949">
        <w:t xml:space="preserve">dokonuje za jego pośrednictwem </w:t>
      </w:r>
      <w:r w:rsidR="00017806" w:rsidRPr="001C0949">
        <w:t xml:space="preserve">wyboru konkretnej </w:t>
      </w:r>
      <w:r w:rsidR="00B404B1" w:rsidRPr="001C0949">
        <w:t xml:space="preserve">formy </w:t>
      </w:r>
      <w:r w:rsidR="00017806" w:rsidRPr="001C0949">
        <w:t>opodatkowania.</w:t>
      </w:r>
      <w:r w:rsidR="00677621" w:rsidRPr="001C0949">
        <w:t xml:space="preserve"> </w:t>
      </w:r>
      <w:r w:rsidR="007D1358" w:rsidRPr="001C0949">
        <w:t>Należy podkreślić, że w</w:t>
      </w:r>
      <w:r w:rsidR="008F7D5A" w:rsidRPr="001C0949">
        <w:t xml:space="preserve">ybór </w:t>
      </w:r>
      <w:r w:rsidR="00465DA1" w:rsidRPr="001C0949">
        <w:t xml:space="preserve">skali proporcjonalnej </w:t>
      </w:r>
      <w:r w:rsidR="00C86D9B" w:rsidRPr="001C0949">
        <w:t>prowadzi do</w:t>
      </w:r>
      <w:r w:rsidR="008F7D5A" w:rsidRPr="001C0949">
        <w:t xml:space="preserve"> opodatkowa</w:t>
      </w:r>
      <w:r w:rsidR="00B33424" w:rsidRPr="001C0949">
        <w:t>ni</w:t>
      </w:r>
      <w:r w:rsidR="00C86D9B" w:rsidRPr="001C0949">
        <w:t>a</w:t>
      </w:r>
      <w:r w:rsidR="000A5944" w:rsidRPr="001C0949">
        <w:t xml:space="preserve"> </w:t>
      </w:r>
      <w:r w:rsidR="008F7D5A" w:rsidRPr="001C0949">
        <w:t>dochodów</w:t>
      </w:r>
      <w:r w:rsidR="00660D0E" w:rsidRPr="001C0949">
        <w:t xml:space="preserve"> </w:t>
      </w:r>
      <w:r w:rsidR="00EB39C4" w:rsidRPr="001C0949">
        <w:t>podatnika stałą</w:t>
      </w:r>
      <w:r w:rsidR="008F7D5A" w:rsidRPr="001C0949">
        <w:t xml:space="preserve"> stawką 19% niezależnie od </w:t>
      </w:r>
      <w:r w:rsidR="00FB7215" w:rsidRPr="001C0949">
        <w:t xml:space="preserve">ich </w:t>
      </w:r>
      <w:r w:rsidR="008F7D5A" w:rsidRPr="001C0949">
        <w:t>wysokości</w:t>
      </w:r>
      <w:r w:rsidR="00436C06" w:rsidRPr="001C0949">
        <w:t xml:space="preserve">. Trudno </w:t>
      </w:r>
      <w:r w:rsidR="00C86D9B" w:rsidRPr="001C0949">
        <w:t xml:space="preserve">zatem </w:t>
      </w:r>
      <w:r w:rsidR="00436C06" w:rsidRPr="001C0949">
        <w:t>zgodzić się z</w:t>
      </w:r>
      <w:r w:rsidR="00C86D9B" w:rsidRPr="001C0949">
        <w:t xml:space="preserve">e stanowiskiem </w:t>
      </w:r>
      <w:r w:rsidR="00523000" w:rsidRPr="001C0949">
        <w:t>NSA</w:t>
      </w:r>
      <w:r w:rsidR="00C86D9B" w:rsidRPr="001C0949">
        <w:t>,</w:t>
      </w:r>
      <w:r w:rsidR="00436C06" w:rsidRPr="001C0949">
        <w:t xml:space="preserve"> </w:t>
      </w:r>
      <w:r w:rsidR="00523000" w:rsidRPr="001C0949">
        <w:t xml:space="preserve">zgodnie z którym </w:t>
      </w:r>
      <w:r w:rsidR="00C86D9B" w:rsidRPr="001C0949">
        <w:t xml:space="preserve">podatnik może </w:t>
      </w:r>
      <w:r w:rsidR="00AE4E67" w:rsidRPr="001C0949">
        <w:t xml:space="preserve">dokonywać wyboru </w:t>
      </w:r>
      <w:r w:rsidR="0030566B" w:rsidRPr="001C0949">
        <w:t>formy</w:t>
      </w:r>
      <w:r w:rsidR="00AE4E67" w:rsidRPr="001C0949">
        <w:t xml:space="preserve"> opodatkowania</w:t>
      </w:r>
      <w:r w:rsidR="0080026F" w:rsidRPr="001C0949">
        <w:t xml:space="preserve"> w</w:t>
      </w:r>
      <w:r w:rsidR="00BB45D7" w:rsidRPr="001C0949">
        <w:t xml:space="preserve"> treści tytułu polecenia</w:t>
      </w:r>
      <w:r w:rsidR="007037D5" w:rsidRPr="001C0949">
        <w:t xml:space="preserve"> </w:t>
      </w:r>
      <w:r w:rsidR="00C86003" w:rsidRPr="001C0949">
        <w:t>przelewu</w:t>
      </w:r>
      <w:r w:rsidR="0080026F" w:rsidRPr="001C0949">
        <w:t xml:space="preserve"> bankowego</w:t>
      </w:r>
      <w:r w:rsidR="00C86003" w:rsidRPr="001C0949">
        <w:t xml:space="preserve">. </w:t>
      </w:r>
      <w:r w:rsidR="00953AB2" w:rsidRPr="001C0949">
        <w:t>Trzeba wziąć pod uwagę</w:t>
      </w:r>
      <w:r w:rsidR="00B66F22" w:rsidRPr="001C0949">
        <w:t xml:space="preserve"> fakt</w:t>
      </w:r>
      <w:r w:rsidR="00953AB2" w:rsidRPr="001C0949">
        <w:t>, że</w:t>
      </w:r>
      <w:r w:rsidR="00EB39C4" w:rsidRPr="001C0949">
        <w:t xml:space="preserve"> </w:t>
      </w:r>
      <w:r w:rsidR="00261033" w:rsidRPr="001C0949">
        <w:t>polecenie przelewu</w:t>
      </w:r>
      <w:r w:rsidR="008E4205" w:rsidRPr="001C0949">
        <w:t xml:space="preserve"> </w:t>
      </w:r>
      <w:r w:rsidR="00C86003" w:rsidRPr="001C0949">
        <w:t>może</w:t>
      </w:r>
      <w:r w:rsidR="008E3301" w:rsidRPr="001C0949">
        <w:t xml:space="preserve"> </w:t>
      </w:r>
      <w:r w:rsidR="00953AB2" w:rsidRPr="001C0949">
        <w:t xml:space="preserve">być </w:t>
      </w:r>
      <w:r w:rsidR="00EB39C4" w:rsidRPr="001C0949">
        <w:lastRenderedPageBreak/>
        <w:t>sformułowan</w:t>
      </w:r>
      <w:r w:rsidR="00B45B72" w:rsidRPr="001C0949">
        <w:t>e</w:t>
      </w:r>
      <w:r w:rsidR="00C86003" w:rsidRPr="001C0949">
        <w:t xml:space="preserve"> błędnie</w:t>
      </w:r>
      <w:r w:rsidR="00953AB2" w:rsidRPr="001C0949">
        <w:t xml:space="preserve">. W rezultacie pomyłka będzie wywoływać konsekwencje </w:t>
      </w:r>
      <w:r w:rsidR="00B45B72" w:rsidRPr="001C0949">
        <w:t>prawn</w:t>
      </w:r>
      <w:r w:rsidR="000A6D49" w:rsidRPr="001C0949">
        <w:t>o</w:t>
      </w:r>
      <w:r w:rsidR="00953AB2" w:rsidRPr="001C0949">
        <w:t xml:space="preserve">podatkowe. </w:t>
      </w:r>
      <w:r w:rsidR="003A3C8E" w:rsidRPr="001C0949">
        <w:t>Po drugie, k</w:t>
      </w:r>
      <w:r w:rsidR="00B404B1" w:rsidRPr="001C0949">
        <w:t xml:space="preserve">ażde oświadczenie woli </w:t>
      </w:r>
      <w:r w:rsidR="00645457" w:rsidRPr="001C0949">
        <w:t xml:space="preserve">ma </w:t>
      </w:r>
      <w:r w:rsidR="00B404B1" w:rsidRPr="001C0949">
        <w:t>adresata. W przypadku polecenia przelewu adresatem składanego oświadczenia nie jest organ podatkowy,</w:t>
      </w:r>
      <w:r w:rsidR="00ED307E" w:rsidRPr="001C0949">
        <w:t xml:space="preserve"> lecz </w:t>
      </w:r>
      <w:r w:rsidR="00B404B1" w:rsidRPr="001C0949">
        <w:t xml:space="preserve">bank prowadzący rachunek tego organu.  </w:t>
      </w:r>
      <w:r w:rsidR="00DC7FEF" w:rsidRPr="001C0949">
        <w:t xml:space="preserve">Wynika to również </w:t>
      </w:r>
      <w:r w:rsidR="00C53FC0" w:rsidRPr="001C0949">
        <w:t>ze struktury normy kompetencyjnej. A</w:t>
      </w:r>
      <w:r w:rsidR="001B6764" w:rsidRPr="001C0949">
        <w:t>dresatem normy kompetencyjn</w:t>
      </w:r>
      <w:r w:rsidR="00137C91" w:rsidRPr="001C0949">
        <w:t xml:space="preserve">ej wywiedzionej z przepisu art. 9a ust. 2 </w:t>
      </w:r>
      <w:proofErr w:type="spellStart"/>
      <w:r w:rsidR="00137C91" w:rsidRPr="001C0949">
        <w:t>u.p.d.o.f</w:t>
      </w:r>
      <w:proofErr w:type="spellEnd"/>
      <w:r w:rsidR="00137C91" w:rsidRPr="001C0949">
        <w:t>. jest podmiot</w:t>
      </w:r>
      <w:r w:rsidR="00442064" w:rsidRPr="001C0949">
        <w:t>,</w:t>
      </w:r>
      <w:r w:rsidR="00137C91" w:rsidRPr="001C0949">
        <w:t xml:space="preserve"> </w:t>
      </w:r>
      <w:r w:rsidR="00442064" w:rsidRPr="001C0949">
        <w:t>do którego zostaje skierowana czynność́ konwencjonalna podatnika</w:t>
      </w:r>
      <w:r w:rsidR="00F568E7" w:rsidRPr="001C0949">
        <w:t xml:space="preserve">, a więc </w:t>
      </w:r>
      <w:r w:rsidR="00C47514" w:rsidRPr="001C0949">
        <w:t>organ podatkowy</w:t>
      </w:r>
      <w:r w:rsidR="0082238D" w:rsidRPr="001C0949">
        <w:rPr>
          <w:rStyle w:val="Odwoanieprzypisudolnego"/>
        </w:rPr>
        <w:footnoteReference w:id="27"/>
      </w:r>
      <w:r w:rsidR="0082238D" w:rsidRPr="001C0949">
        <w:t>.</w:t>
      </w:r>
      <w:r w:rsidR="00F53835" w:rsidRPr="001C0949">
        <w:t xml:space="preserve"> </w:t>
      </w:r>
      <w:r w:rsidR="00584D1B" w:rsidRPr="001C0949">
        <w:t xml:space="preserve"> </w:t>
      </w:r>
      <w:r w:rsidR="00442064" w:rsidRPr="001C0949">
        <w:t xml:space="preserve"> </w:t>
      </w:r>
    </w:p>
    <w:p w14:paraId="3B750194" w14:textId="1E7C0A2B" w:rsidR="00FC316E" w:rsidRPr="001C0949" w:rsidRDefault="0034553B" w:rsidP="00953AB2">
      <w:pPr>
        <w:spacing w:after="0" w:line="360" w:lineRule="auto"/>
        <w:ind w:firstLine="360"/>
        <w:jc w:val="both"/>
      </w:pPr>
      <w:r w:rsidRPr="001C0949">
        <w:t>P</w:t>
      </w:r>
      <w:r w:rsidR="00677621" w:rsidRPr="001C0949">
        <w:t>olecenie przelewu</w:t>
      </w:r>
      <w:r w:rsidR="00831A2E" w:rsidRPr="001C0949">
        <w:t xml:space="preserve"> służy dokonywaniu rozliczeń </w:t>
      </w:r>
      <w:r w:rsidR="006072F0" w:rsidRPr="001C0949">
        <w:t>bezgotówkowych</w:t>
      </w:r>
      <w:r w:rsidR="0030168F" w:rsidRPr="001C0949">
        <w:t>. Z</w:t>
      </w:r>
      <w:r w:rsidR="00D37E2A" w:rsidRPr="001C0949">
        <w:t xml:space="preserve"> punktu widzenia prawa podatkoweg</w:t>
      </w:r>
      <w:r w:rsidR="00067126" w:rsidRPr="001C0949">
        <w:t>o</w:t>
      </w:r>
      <w:r w:rsidR="003F3B68" w:rsidRPr="001C0949">
        <w:t xml:space="preserve"> prowadzi</w:t>
      </w:r>
      <w:r w:rsidR="00B14362" w:rsidRPr="001C0949">
        <w:t xml:space="preserve"> </w:t>
      </w:r>
      <w:r w:rsidR="0030168F" w:rsidRPr="001C0949">
        <w:t xml:space="preserve">więc </w:t>
      </w:r>
      <w:r w:rsidR="00B14362" w:rsidRPr="001C0949">
        <w:t>do</w:t>
      </w:r>
      <w:r w:rsidR="00D37E2A" w:rsidRPr="001C0949">
        <w:t xml:space="preserve"> </w:t>
      </w:r>
      <w:r w:rsidR="006A4A77" w:rsidRPr="001C0949">
        <w:t xml:space="preserve">wykonania </w:t>
      </w:r>
      <w:r w:rsidR="00D37E2A" w:rsidRPr="001C0949">
        <w:t>zobowiąz</w:t>
      </w:r>
      <w:r w:rsidR="003F3B68" w:rsidRPr="001C0949">
        <w:t xml:space="preserve">ania </w:t>
      </w:r>
      <w:r w:rsidR="00D37E2A" w:rsidRPr="001C0949">
        <w:t>podatkow</w:t>
      </w:r>
      <w:r w:rsidR="003F3B68" w:rsidRPr="001C0949">
        <w:t>ego</w:t>
      </w:r>
      <w:r w:rsidR="00323BC8" w:rsidRPr="001C0949">
        <w:t xml:space="preserve">. Złożenie oświadczenia woli w tytule polecenia przelewu może zostać zakwalifikowane jako dokonane w postaci elektronicznej. Natomiast nie jest to równoznaczne z zachowaniem formy pisemnej, </w:t>
      </w:r>
      <w:r w:rsidR="00852676" w:rsidRPr="001C0949">
        <w:t xml:space="preserve">dla </w:t>
      </w:r>
      <w:r w:rsidR="00323BC8" w:rsidRPr="001C0949">
        <w:t>której konieczne jest opatrzenie</w:t>
      </w:r>
      <w:r w:rsidR="007E4E1A" w:rsidRPr="001C0949">
        <w:t xml:space="preserve"> </w:t>
      </w:r>
      <w:r w:rsidR="00323BC8" w:rsidRPr="001C0949">
        <w:t>oświadczenia</w:t>
      </w:r>
      <w:r w:rsidR="00207630" w:rsidRPr="001C0949">
        <w:t xml:space="preserve"> </w:t>
      </w:r>
      <w:r w:rsidR="00AC6A58" w:rsidRPr="001C0949">
        <w:t xml:space="preserve">woli </w:t>
      </w:r>
      <w:r w:rsidR="00323BC8" w:rsidRPr="001C0949">
        <w:t>kwalifikowanym podpisem elektronicznym.</w:t>
      </w:r>
      <w:r w:rsidR="00735DA2" w:rsidRPr="001C0949">
        <w:t xml:space="preserve"> </w:t>
      </w:r>
      <w:r w:rsidR="00FA3E41" w:rsidRPr="001C0949">
        <w:t xml:space="preserve">Jedynie </w:t>
      </w:r>
      <w:r w:rsidR="00323BC8" w:rsidRPr="001C0949">
        <w:t>oświadczenie złożone w ten sposób czyni zadość wymogom z</w:t>
      </w:r>
      <w:r w:rsidR="005145D4" w:rsidRPr="001C0949">
        <w:t xml:space="preserve"> wynikającym z</w:t>
      </w:r>
      <w:r w:rsidR="00323BC8" w:rsidRPr="001C0949">
        <w:t xml:space="preserve"> art. 9a ust. 2 </w:t>
      </w:r>
      <w:proofErr w:type="spellStart"/>
      <w:r w:rsidR="00323BC8" w:rsidRPr="001C0949">
        <w:t>u.p.d.o.f</w:t>
      </w:r>
      <w:proofErr w:type="spellEnd"/>
      <w:r w:rsidR="00323BC8" w:rsidRPr="001C0949">
        <w:t xml:space="preserve">. </w:t>
      </w:r>
      <w:r w:rsidR="00AC6A58" w:rsidRPr="001C0949">
        <w:t>Nie można bowiem domniemywać</w:t>
      </w:r>
      <w:r w:rsidR="00A96897" w:rsidRPr="001C0949">
        <w:t xml:space="preserve"> </w:t>
      </w:r>
      <w:r w:rsidR="00323BC8" w:rsidRPr="001C0949">
        <w:t xml:space="preserve">złożenia oświadczenia woli w sprawie wyboru </w:t>
      </w:r>
      <w:r w:rsidR="00A6262E" w:rsidRPr="001C0949">
        <w:t>formy</w:t>
      </w:r>
      <w:r w:rsidR="00323BC8" w:rsidRPr="001C0949">
        <w:t xml:space="preserve"> opodatkowania w podatku dochodowym od osób fizycznych.</w:t>
      </w:r>
    </w:p>
    <w:p w14:paraId="57DDCC96" w14:textId="072F94E6" w:rsidR="000A1451" w:rsidRPr="001C0949" w:rsidRDefault="009F1FDB" w:rsidP="00DD6E4D">
      <w:pPr>
        <w:spacing w:line="360" w:lineRule="auto"/>
        <w:ind w:firstLine="360"/>
        <w:jc w:val="both"/>
        <w:rPr>
          <w:color w:val="FF0000"/>
        </w:rPr>
      </w:pPr>
      <w:r w:rsidRPr="001C0949">
        <w:t xml:space="preserve">Krytycznego </w:t>
      </w:r>
      <w:r w:rsidR="00E62232" w:rsidRPr="001C0949">
        <w:t>ustosunkowania</w:t>
      </w:r>
      <w:r w:rsidRPr="001C0949">
        <w:t xml:space="preserve"> się wymaga </w:t>
      </w:r>
      <w:r w:rsidR="007D60D1" w:rsidRPr="001C0949">
        <w:t xml:space="preserve">także </w:t>
      </w:r>
      <w:r w:rsidR="00784397" w:rsidRPr="001C0949">
        <w:t>stwierdzenie</w:t>
      </w:r>
      <w:r w:rsidR="00891C7A" w:rsidRPr="001C0949">
        <w:t xml:space="preserve"> przez NSA</w:t>
      </w:r>
      <w:r w:rsidR="00661013" w:rsidRPr="001C0949">
        <w:t>,</w:t>
      </w:r>
      <w:r w:rsidR="00807144" w:rsidRPr="001C0949">
        <w:t xml:space="preserve"> </w:t>
      </w:r>
      <w:r w:rsidR="00891C7A" w:rsidRPr="001C0949">
        <w:t xml:space="preserve">że </w:t>
      </w:r>
      <w:r w:rsidR="00634897" w:rsidRPr="001C0949">
        <w:t xml:space="preserve">oświadczenie o wyborze formy opodatkowania </w:t>
      </w:r>
      <w:r w:rsidRPr="001C0949">
        <w:t xml:space="preserve">nie </w:t>
      </w:r>
      <w:r w:rsidR="00634897" w:rsidRPr="001C0949">
        <w:t xml:space="preserve">jest podaniem w rozumieniu przepisu art. 168 </w:t>
      </w:r>
      <w:proofErr w:type="spellStart"/>
      <w:r w:rsidR="00634897" w:rsidRPr="001C0949">
        <w:t>o.p</w:t>
      </w:r>
      <w:proofErr w:type="spellEnd"/>
      <w:r w:rsidR="00634897" w:rsidRPr="001C0949">
        <w:t xml:space="preserve">. Treścią każdego podania jest określone żądanie. Wniesienie podania skutkuje koniecznością podjęcia </w:t>
      </w:r>
      <w:r w:rsidR="00736EDA" w:rsidRPr="001C0949">
        <w:t xml:space="preserve">przez organ podatkowy </w:t>
      </w:r>
      <w:r w:rsidR="00634897" w:rsidRPr="001C0949">
        <w:t>określonych czynności faktycznych i prawnych</w:t>
      </w:r>
      <w:r w:rsidR="00736EDA" w:rsidRPr="001C0949">
        <w:t>.</w:t>
      </w:r>
      <w:r w:rsidR="00634897" w:rsidRPr="001C0949">
        <w:t xml:space="preserve"> </w:t>
      </w:r>
      <w:r w:rsidR="003A3788" w:rsidRPr="001C0949">
        <w:t>Skuteczne z</w:t>
      </w:r>
      <w:r w:rsidR="00634897" w:rsidRPr="001C0949">
        <w:t xml:space="preserve">łożenie oświadczenia woli o wyborze opodatkowania według skali proporcjonalnej aktualizuje kompetencję organu podatkowego do określenia wysokości podatku z zastosowaniem stawki 19%. </w:t>
      </w:r>
      <w:r w:rsidR="00770E8B" w:rsidRPr="001C0949">
        <w:t>Możliwość wyboru formy opodatkowania należy wywodzić z normy</w:t>
      </w:r>
      <w:r w:rsidR="003F29C2" w:rsidRPr="001C0949">
        <w:t xml:space="preserve"> </w:t>
      </w:r>
      <w:r w:rsidR="000B20EA" w:rsidRPr="001C0949">
        <w:t>kompetencyjnej</w:t>
      </w:r>
      <w:r w:rsidR="003F29C2" w:rsidRPr="001C0949">
        <w:t>,</w:t>
      </w:r>
      <w:r w:rsidR="00770E8B" w:rsidRPr="001C0949">
        <w:t xml:space="preserve"> która przyznaje podatnikowi uprawnienie do kształtowania istniejącego</w:t>
      </w:r>
      <w:r w:rsidR="00E9195E" w:rsidRPr="001C0949">
        <w:t xml:space="preserve"> już</w:t>
      </w:r>
      <w:r w:rsidR="00770E8B" w:rsidRPr="001C0949">
        <w:t xml:space="preserve"> </w:t>
      </w:r>
      <w:r w:rsidR="003D4C50" w:rsidRPr="001C0949">
        <w:t>stosunku zobowiązania podatkowego</w:t>
      </w:r>
      <w:r w:rsidR="00EB69C2" w:rsidRPr="001C0949">
        <w:rPr>
          <w:rStyle w:val="Odwoanieprzypisudolnego"/>
        </w:rPr>
        <w:footnoteReference w:id="28"/>
      </w:r>
      <w:r w:rsidR="003D4C50" w:rsidRPr="001C0949">
        <w:t xml:space="preserve">. </w:t>
      </w:r>
      <w:r w:rsidR="0002583E" w:rsidRPr="001C0949">
        <w:t>Norma</w:t>
      </w:r>
      <w:r w:rsidR="00511CE4" w:rsidRPr="001C0949">
        <w:t xml:space="preserve"> </w:t>
      </w:r>
      <w:r w:rsidR="002A25BC" w:rsidRPr="001C0949">
        <w:t>ta</w:t>
      </w:r>
      <w:r w:rsidR="0002583E" w:rsidRPr="001C0949">
        <w:t xml:space="preserve"> wynika z przepisu art. 9a ust. 2 </w:t>
      </w:r>
      <w:proofErr w:type="spellStart"/>
      <w:r w:rsidR="0002583E" w:rsidRPr="001C0949">
        <w:t>u.p.d.o.f</w:t>
      </w:r>
      <w:proofErr w:type="spellEnd"/>
      <w:r w:rsidR="0002583E" w:rsidRPr="001C0949">
        <w:t>.</w:t>
      </w:r>
      <w:r w:rsidR="00C95A63" w:rsidRPr="001C0949">
        <w:t xml:space="preserve"> Na jej</w:t>
      </w:r>
      <w:r w:rsidR="007C7D17" w:rsidRPr="001C0949">
        <w:t xml:space="preserve"> podstawie podatnik może </w:t>
      </w:r>
      <w:r w:rsidR="002D3152" w:rsidRPr="001C0949">
        <w:t xml:space="preserve">zrezygnować </w:t>
      </w:r>
      <w:r w:rsidR="00B87D2B" w:rsidRPr="001C0949">
        <w:t>z opodatkowania według skali progresywnej, wybierając skalę proporcjonalną</w:t>
      </w:r>
      <w:r w:rsidR="00FF0634" w:rsidRPr="001C0949">
        <w:t xml:space="preserve"> i w ten sposób zmienić</w:t>
      </w:r>
      <w:r w:rsidR="00FC042B" w:rsidRPr="001C0949">
        <w:t xml:space="preserve"> stosunek </w:t>
      </w:r>
      <w:r w:rsidR="00FC042B" w:rsidRPr="001C0949">
        <w:lastRenderedPageBreak/>
        <w:t>prawnopodatkowy istniejący między nim a wierzycielem podatkowym</w:t>
      </w:r>
      <w:r w:rsidR="009D7AB7" w:rsidRPr="001C0949">
        <w:rPr>
          <w:rStyle w:val="Odwoanieprzypisudolnego"/>
        </w:rPr>
        <w:footnoteReference w:id="29"/>
      </w:r>
      <w:r w:rsidR="00FC042B" w:rsidRPr="001C0949">
        <w:t>.</w:t>
      </w:r>
      <w:r w:rsidR="005132E7" w:rsidRPr="001C0949">
        <w:t xml:space="preserve"> Oznacza to, że analizowana norma kompetencyjna nakazuje dokonywać podatnikowi w określony sposób czynności konwencjonalnej doniosłej prawnie, co ma skutkować powstaniem obowiązku odpowiedniego zachowania się przez organ podatkowy</w:t>
      </w:r>
      <w:r w:rsidR="005132E7" w:rsidRPr="001C0949">
        <w:rPr>
          <w:rStyle w:val="Odwoanieprzypisudolnego"/>
        </w:rPr>
        <w:footnoteReference w:id="30"/>
      </w:r>
      <w:r w:rsidR="005132E7" w:rsidRPr="001C0949">
        <w:t xml:space="preserve"> </w:t>
      </w:r>
      <w:r w:rsidR="00B87D2B" w:rsidRPr="001C0949">
        <w:t xml:space="preserve"> Realizacja tego uprawnienia wymaga złożenia oświadczenia na piśmie </w:t>
      </w:r>
      <w:r w:rsidR="00C95A63" w:rsidRPr="001C0949">
        <w:t xml:space="preserve">przy zachowaniu odpowiedniego terminu. </w:t>
      </w:r>
      <w:r w:rsidR="00E410DE" w:rsidRPr="001C0949">
        <w:t>Oświadczenie</w:t>
      </w:r>
      <w:r w:rsidR="008F58DC" w:rsidRPr="001C0949">
        <w:t xml:space="preserve"> </w:t>
      </w:r>
      <w:r w:rsidR="00F41FF8" w:rsidRPr="001C0949">
        <w:t>podatnika</w:t>
      </w:r>
      <w:r w:rsidR="00E410DE" w:rsidRPr="001C0949">
        <w:t xml:space="preserve"> jest podaniem w rozumieniu przepisów Ordynacji podatkowej i powinno być sporządzone we właściwej formie. Zgodnie </w:t>
      </w:r>
      <w:r w:rsidR="00BD6FA8" w:rsidRPr="001C0949">
        <w:t>z art. 168 §</w:t>
      </w:r>
      <w:r w:rsidR="00400AB2" w:rsidRPr="001C0949">
        <w:t xml:space="preserve"> </w:t>
      </w:r>
      <w:r w:rsidR="00BD6FA8" w:rsidRPr="001C0949">
        <w:t xml:space="preserve">1 </w:t>
      </w:r>
      <w:proofErr w:type="spellStart"/>
      <w:r w:rsidR="00C417EC" w:rsidRPr="001C0949">
        <w:t>o.p</w:t>
      </w:r>
      <w:proofErr w:type="spellEnd"/>
      <w:r w:rsidR="00C417EC" w:rsidRPr="001C0949">
        <w:t xml:space="preserve">. </w:t>
      </w:r>
      <w:r w:rsidR="00BD6FA8" w:rsidRPr="001C0949">
        <w:t xml:space="preserve">podanie może być złożone </w:t>
      </w:r>
      <w:r w:rsidR="00C417EC" w:rsidRPr="001C0949">
        <w:t>na piśmie lub ustnie do protokołu. Druga z form nie ma zastosowania w analizowanej sprawie.</w:t>
      </w:r>
      <w:r w:rsidR="00DF18CC" w:rsidRPr="001C0949">
        <w:t xml:space="preserve"> Oświadczenie o wyborze opodatkowania według skali proporcjonalnej </w:t>
      </w:r>
      <w:r w:rsidR="00A71B14" w:rsidRPr="001C0949">
        <w:t xml:space="preserve">jest </w:t>
      </w:r>
      <w:r w:rsidR="00E010BE" w:rsidRPr="001C0949">
        <w:t xml:space="preserve">złożone </w:t>
      </w:r>
      <w:r w:rsidR="00400AB2" w:rsidRPr="001C0949">
        <w:t xml:space="preserve">skutecznie </w:t>
      </w:r>
      <w:r w:rsidR="00A71B14" w:rsidRPr="001C0949">
        <w:t>tylko wtedy, gdy podatnik opatrzy</w:t>
      </w:r>
      <w:r w:rsidR="00520FA2" w:rsidRPr="001C0949">
        <w:t xml:space="preserve"> je</w:t>
      </w:r>
      <w:r w:rsidR="00A71B14" w:rsidRPr="001C0949">
        <w:t xml:space="preserve"> </w:t>
      </w:r>
      <w:r w:rsidR="00520FA2" w:rsidRPr="001C0949">
        <w:t>podpisem</w:t>
      </w:r>
      <w:r w:rsidR="00C86ABC" w:rsidRPr="001C0949">
        <w:t xml:space="preserve"> własnoręcznym albo elektronicznym</w:t>
      </w:r>
      <w:r w:rsidR="00520FA2" w:rsidRPr="001C0949">
        <w:t>.</w:t>
      </w:r>
      <w:r w:rsidR="00CE3A64" w:rsidRPr="001C0949">
        <w:t xml:space="preserve"> Wobec tego, złożenie takiego oświadczenia w treści tytułu polecenia przelewu nie </w:t>
      </w:r>
      <w:r w:rsidR="00823A8A" w:rsidRPr="001C0949">
        <w:t xml:space="preserve">może być uznane za skuteczne w rozumieniu przepisów ustawy o podatku dochodowym od osób fizycznych. </w:t>
      </w:r>
      <w:r w:rsidR="00A031FE" w:rsidRPr="001C0949">
        <w:rPr>
          <w:color w:val="000000" w:themeColor="text1"/>
        </w:rPr>
        <w:t xml:space="preserve">W badanej sprawie podatnik nie zrealizował </w:t>
      </w:r>
      <w:r w:rsidR="002C27B1" w:rsidRPr="001C0949">
        <w:rPr>
          <w:color w:val="000000" w:themeColor="text1"/>
        </w:rPr>
        <w:t xml:space="preserve">przysługującego mu na mocy normy </w:t>
      </w:r>
      <w:r w:rsidR="007C4883" w:rsidRPr="001C0949">
        <w:rPr>
          <w:color w:val="000000" w:themeColor="text1"/>
        </w:rPr>
        <w:t>kompetencyjnej</w:t>
      </w:r>
      <w:r w:rsidR="002C27B1" w:rsidRPr="001C0949">
        <w:rPr>
          <w:color w:val="000000" w:themeColor="text1"/>
        </w:rPr>
        <w:t xml:space="preserve"> uprawnienia do zmiany stosunku zobowiązania podatkowego. </w:t>
      </w:r>
      <w:r w:rsidR="00E55E31" w:rsidRPr="001C0949">
        <w:rPr>
          <w:color w:val="000000" w:themeColor="text1"/>
        </w:rPr>
        <w:t>Pomiędzy o</w:t>
      </w:r>
      <w:r w:rsidR="006940A8" w:rsidRPr="001C0949">
        <w:rPr>
          <w:color w:val="000000" w:themeColor="text1"/>
        </w:rPr>
        <w:t>rgan</w:t>
      </w:r>
      <w:r w:rsidR="00262C68" w:rsidRPr="001C0949">
        <w:rPr>
          <w:color w:val="000000" w:themeColor="text1"/>
        </w:rPr>
        <w:t>em</w:t>
      </w:r>
      <w:r w:rsidR="007C4883" w:rsidRPr="001C0949">
        <w:rPr>
          <w:color w:val="000000" w:themeColor="text1"/>
        </w:rPr>
        <w:t xml:space="preserve"> </w:t>
      </w:r>
      <w:r w:rsidR="006940A8" w:rsidRPr="001C0949">
        <w:rPr>
          <w:color w:val="000000" w:themeColor="text1"/>
        </w:rPr>
        <w:t>podatkow</w:t>
      </w:r>
      <w:r w:rsidR="007C4883" w:rsidRPr="001C0949">
        <w:rPr>
          <w:color w:val="000000" w:themeColor="text1"/>
        </w:rPr>
        <w:t>y</w:t>
      </w:r>
      <w:r w:rsidR="00262C68" w:rsidRPr="001C0949">
        <w:rPr>
          <w:color w:val="000000" w:themeColor="text1"/>
        </w:rPr>
        <w:t>m a podatnikiem</w:t>
      </w:r>
      <w:r w:rsidR="006940A8" w:rsidRPr="001C0949">
        <w:rPr>
          <w:color w:val="000000" w:themeColor="text1"/>
        </w:rPr>
        <w:t xml:space="preserve"> </w:t>
      </w:r>
      <w:r w:rsidR="00E55E31" w:rsidRPr="001C0949">
        <w:rPr>
          <w:color w:val="000000" w:themeColor="text1"/>
        </w:rPr>
        <w:t xml:space="preserve">nie powstał </w:t>
      </w:r>
      <w:r w:rsidR="00262C68" w:rsidRPr="001C0949">
        <w:rPr>
          <w:color w:val="000000" w:themeColor="text1"/>
        </w:rPr>
        <w:t>zatem</w:t>
      </w:r>
      <w:r w:rsidR="006940A8" w:rsidRPr="001C0949">
        <w:rPr>
          <w:color w:val="000000" w:themeColor="text1"/>
        </w:rPr>
        <w:t xml:space="preserve"> </w:t>
      </w:r>
      <w:r w:rsidR="00E55E31" w:rsidRPr="001C0949">
        <w:rPr>
          <w:color w:val="000000" w:themeColor="text1"/>
        </w:rPr>
        <w:t>stosunek procesowy</w:t>
      </w:r>
      <w:r w:rsidR="005E0940" w:rsidRPr="001C0949">
        <w:rPr>
          <w:rStyle w:val="Odwoanieprzypisudolnego"/>
          <w:color w:val="000000" w:themeColor="text1"/>
        </w:rPr>
        <w:footnoteReference w:id="31"/>
      </w:r>
      <w:r w:rsidR="00B24397" w:rsidRPr="001C0949">
        <w:rPr>
          <w:color w:val="000000" w:themeColor="text1"/>
        </w:rPr>
        <w:t xml:space="preserve">. Powstanie </w:t>
      </w:r>
      <w:r w:rsidR="002F3282" w:rsidRPr="001C0949">
        <w:rPr>
          <w:color w:val="000000" w:themeColor="text1"/>
        </w:rPr>
        <w:t xml:space="preserve">takiego </w:t>
      </w:r>
      <w:r w:rsidR="00B24397" w:rsidRPr="001C0949">
        <w:rPr>
          <w:color w:val="000000" w:themeColor="text1"/>
        </w:rPr>
        <w:t>stosunku</w:t>
      </w:r>
      <w:r w:rsidR="009019DD" w:rsidRPr="001C0949">
        <w:rPr>
          <w:color w:val="000000" w:themeColor="text1"/>
        </w:rPr>
        <w:t xml:space="preserve"> </w:t>
      </w:r>
      <w:r w:rsidR="00B24397" w:rsidRPr="001C0949">
        <w:rPr>
          <w:color w:val="000000" w:themeColor="text1"/>
        </w:rPr>
        <w:t xml:space="preserve">wymagałoby od organu podatkowego </w:t>
      </w:r>
      <w:r w:rsidR="002F3282" w:rsidRPr="001C0949">
        <w:rPr>
          <w:color w:val="000000" w:themeColor="text1"/>
        </w:rPr>
        <w:t>zb</w:t>
      </w:r>
      <w:r w:rsidR="009019DD" w:rsidRPr="001C0949">
        <w:rPr>
          <w:color w:val="000000" w:themeColor="text1"/>
        </w:rPr>
        <w:t xml:space="preserve">adania </w:t>
      </w:r>
      <w:r w:rsidR="006F0283" w:rsidRPr="001C0949">
        <w:rPr>
          <w:color w:val="000000" w:themeColor="text1"/>
        </w:rPr>
        <w:t>treści</w:t>
      </w:r>
      <w:r w:rsidR="009B7138" w:rsidRPr="001C0949">
        <w:rPr>
          <w:color w:val="000000" w:themeColor="text1"/>
        </w:rPr>
        <w:t xml:space="preserve"> </w:t>
      </w:r>
      <w:r w:rsidR="009019DD" w:rsidRPr="001C0949">
        <w:rPr>
          <w:color w:val="000000" w:themeColor="text1"/>
        </w:rPr>
        <w:t>złożonego oświadczenia</w:t>
      </w:r>
      <w:r w:rsidR="002F3282" w:rsidRPr="001C0949">
        <w:rPr>
          <w:color w:val="000000" w:themeColor="text1"/>
        </w:rPr>
        <w:t xml:space="preserve"> woli</w:t>
      </w:r>
      <w:r w:rsidR="001E4E23" w:rsidRPr="001C0949">
        <w:rPr>
          <w:color w:val="000000" w:themeColor="text1"/>
        </w:rPr>
        <w:t xml:space="preserve"> podatnika</w:t>
      </w:r>
      <w:r w:rsidR="002F3282" w:rsidRPr="001C0949">
        <w:rPr>
          <w:color w:val="000000" w:themeColor="text1"/>
        </w:rPr>
        <w:t xml:space="preserve">, wezwania do uzupełnienia </w:t>
      </w:r>
      <w:r w:rsidR="002C6B02" w:rsidRPr="001C0949">
        <w:rPr>
          <w:color w:val="000000" w:themeColor="text1"/>
        </w:rPr>
        <w:t xml:space="preserve">ewentualnych </w:t>
      </w:r>
      <w:r w:rsidR="002F3282" w:rsidRPr="001C0949">
        <w:rPr>
          <w:color w:val="000000" w:themeColor="text1"/>
        </w:rPr>
        <w:t>braków</w:t>
      </w:r>
      <w:r w:rsidR="002C6B02" w:rsidRPr="001C0949">
        <w:rPr>
          <w:color w:val="000000" w:themeColor="text1"/>
        </w:rPr>
        <w:t xml:space="preserve">, a następnie wymiaru i poboru podatku z zastosowaniem skali proporcjonalnej. </w:t>
      </w:r>
    </w:p>
    <w:p w14:paraId="6453B2F5" w14:textId="79F1873C" w:rsidR="005D05C4" w:rsidRPr="001C0949" w:rsidRDefault="00E26F89" w:rsidP="000A1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1C0949">
        <w:rPr>
          <w:b/>
          <w:bCs/>
        </w:rPr>
        <w:t>Polecenie przelewu jako bezgotówkowa forma rozliczeń pieniężnych</w:t>
      </w:r>
    </w:p>
    <w:p w14:paraId="61055C70" w14:textId="692FEBE4" w:rsidR="00DB78FC" w:rsidRPr="001C0949" w:rsidRDefault="00FB69F8" w:rsidP="00B364A1">
      <w:pPr>
        <w:spacing w:after="0" w:line="360" w:lineRule="auto"/>
        <w:ind w:firstLine="360"/>
        <w:jc w:val="both"/>
      </w:pPr>
      <w:r w:rsidRPr="001C0949">
        <w:t xml:space="preserve">Mimo tego, że w </w:t>
      </w:r>
      <w:r w:rsidR="00262709" w:rsidRPr="001C0949">
        <w:t xml:space="preserve">badanej </w:t>
      </w:r>
      <w:r w:rsidRPr="001C0949">
        <w:t xml:space="preserve">sprawie podatnik złożył oświadczenie woli w treści tytułu przelewu bankowego, to </w:t>
      </w:r>
      <w:r w:rsidR="002076FD" w:rsidRPr="001C0949">
        <w:t>w uzasadnieniu wyroku</w:t>
      </w:r>
      <w:r w:rsidR="005B1ECD" w:rsidRPr="001C0949">
        <w:t xml:space="preserve"> NSA</w:t>
      </w:r>
      <w:r w:rsidR="002076FD" w:rsidRPr="001C0949">
        <w:t xml:space="preserve"> </w:t>
      </w:r>
      <w:r w:rsidR="00590076" w:rsidRPr="001C0949">
        <w:t>nie</w:t>
      </w:r>
      <w:r w:rsidR="00500274" w:rsidRPr="001C0949">
        <w:t xml:space="preserve"> odniósł się do definicji polecenia przelewu z art. 63c pr. bank. </w:t>
      </w:r>
      <w:r w:rsidR="00204E3C" w:rsidRPr="001C0949">
        <w:t>Są</w:t>
      </w:r>
      <w:r w:rsidR="00B12121" w:rsidRPr="001C0949">
        <w:t>d</w:t>
      </w:r>
      <w:r w:rsidR="00204E3C" w:rsidRPr="001C0949">
        <w:t xml:space="preserve"> wskazał jed</w:t>
      </w:r>
      <w:r w:rsidR="004D6844" w:rsidRPr="001C0949">
        <w:t>y</w:t>
      </w:r>
      <w:r w:rsidR="00204E3C" w:rsidRPr="001C0949">
        <w:t>nie, że p</w:t>
      </w:r>
      <w:r w:rsidR="009D1075" w:rsidRPr="001C0949">
        <w:t>otwierdzenie</w:t>
      </w:r>
      <w:r w:rsidR="00204E3C" w:rsidRPr="001C0949">
        <w:t xml:space="preserve"> przelewu </w:t>
      </w:r>
      <w:r w:rsidR="009D1075" w:rsidRPr="001C0949">
        <w:t xml:space="preserve">ma </w:t>
      </w:r>
      <w:r w:rsidR="00487F9C" w:rsidRPr="001C0949">
        <w:t xml:space="preserve">istotne </w:t>
      </w:r>
      <w:r w:rsidR="009D1075" w:rsidRPr="001C0949">
        <w:t xml:space="preserve">znaczenie </w:t>
      </w:r>
      <w:r w:rsidR="004F2908" w:rsidRPr="001C0949">
        <w:t>w prawie podatkowym</w:t>
      </w:r>
      <w:r w:rsidR="009D1075" w:rsidRPr="001C0949">
        <w:t xml:space="preserve">. </w:t>
      </w:r>
      <w:r w:rsidR="00717C98" w:rsidRPr="001C0949">
        <w:t>Uzasadniając swoje stanowisko, NSA</w:t>
      </w:r>
      <w:r w:rsidR="002C5D39" w:rsidRPr="001C0949">
        <w:t xml:space="preserve"> </w:t>
      </w:r>
      <w:r w:rsidR="00266CB5" w:rsidRPr="001C0949">
        <w:t>odwołał się do przepisów ustawy o podatku od spadków i darowizn</w:t>
      </w:r>
      <w:r w:rsidR="009C657B" w:rsidRPr="001C0949">
        <w:rPr>
          <w:rStyle w:val="Odwoanieprzypisudolnego"/>
        </w:rPr>
        <w:footnoteReference w:id="32"/>
      </w:r>
      <w:r w:rsidR="00266CB5" w:rsidRPr="001C0949">
        <w:t xml:space="preserve">. </w:t>
      </w:r>
      <w:r w:rsidR="004F0973" w:rsidRPr="001C0949">
        <w:t>Zgodnie</w:t>
      </w:r>
      <w:r w:rsidR="00BC63A0" w:rsidRPr="001C0949">
        <w:t xml:space="preserve"> </w:t>
      </w:r>
      <w:r w:rsidR="004F0973" w:rsidRPr="001C0949">
        <w:t>z art.</w:t>
      </w:r>
      <w:r w:rsidR="004F2908" w:rsidRPr="001C0949">
        <w:t xml:space="preserve"> </w:t>
      </w:r>
      <w:r w:rsidR="00000B18" w:rsidRPr="001C0949">
        <w:t xml:space="preserve">4a ust. </w:t>
      </w:r>
      <w:r w:rsidR="0081407B" w:rsidRPr="001C0949">
        <w:t xml:space="preserve">1 pkt 2 </w:t>
      </w:r>
      <w:proofErr w:type="spellStart"/>
      <w:r w:rsidR="00000B18" w:rsidRPr="001C0949">
        <w:t>u.p.s.d</w:t>
      </w:r>
      <w:proofErr w:type="spellEnd"/>
      <w:r w:rsidR="00000B18" w:rsidRPr="001C0949">
        <w:t xml:space="preserve">. </w:t>
      </w:r>
      <w:r w:rsidR="00564060" w:rsidRPr="001C0949">
        <w:t>n</w:t>
      </w:r>
      <w:r w:rsidR="00823268" w:rsidRPr="001C0949">
        <w:t>abyci</w:t>
      </w:r>
      <w:r w:rsidR="004F0973" w:rsidRPr="001C0949">
        <w:t>e</w:t>
      </w:r>
      <w:r w:rsidR="008C3B6B" w:rsidRPr="001C0949">
        <w:t xml:space="preserve"> przez</w:t>
      </w:r>
      <w:r w:rsidR="00D1115C" w:rsidRPr="001C0949">
        <w:t xml:space="preserve"> członków najbliższej rodziny</w:t>
      </w:r>
      <w:r w:rsidR="00E83F11" w:rsidRPr="001C0949">
        <w:t xml:space="preserve"> </w:t>
      </w:r>
      <w:r w:rsidR="00D1115C" w:rsidRPr="001C0949">
        <w:lastRenderedPageBreak/>
        <w:t>środków pieniężnych</w:t>
      </w:r>
      <w:r w:rsidR="00823268" w:rsidRPr="001C0949">
        <w:t xml:space="preserve"> tytułem darowizny lub polecenia </w:t>
      </w:r>
      <w:r w:rsidR="00D1115C" w:rsidRPr="001C0949">
        <w:t>darczyńcy</w:t>
      </w:r>
      <w:r w:rsidR="001F7E49" w:rsidRPr="001C0949">
        <w:t xml:space="preserve"> jest</w:t>
      </w:r>
      <w:r w:rsidR="00D1115C" w:rsidRPr="001C0949">
        <w:t xml:space="preserve"> zwolnione z opodatkowania, jeśli </w:t>
      </w:r>
      <w:r w:rsidR="0081407B" w:rsidRPr="001C0949">
        <w:t>zosta</w:t>
      </w:r>
      <w:r w:rsidR="007D71D8" w:rsidRPr="001C0949">
        <w:t>ło</w:t>
      </w:r>
      <w:r w:rsidR="0081407B" w:rsidRPr="001C0949">
        <w:t xml:space="preserve"> odpowiednio </w:t>
      </w:r>
      <w:r w:rsidR="001F7E49" w:rsidRPr="001C0949">
        <w:t xml:space="preserve">udokumentowane. </w:t>
      </w:r>
      <w:r w:rsidR="009D47CC" w:rsidRPr="001C0949">
        <w:t>Do skorzystania ze zwolnienia konieczne jest</w:t>
      </w:r>
      <w:r w:rsidR="00CE7B58" w:rsidRPr="001C0949">
        <w:t xml:space="preserve"> udowodnienie przez podatnika, że otrzymał on </w:t>
      </w:r>
      <w:r w:rsidR="00772780" w:rsidRPr="001C0949">
        <w:t>środki pieniężne</w:t>
      </w:r>
      <w:r w:rsidR="00CE7B58" w:rsidRPr="001C0949">
        <w:t xml:space="preserve"> od członka najbliższej rodziny. W tym celu </w:t>
      </w:r>
      <w:r w:rsidR="00AA4EC2" w:rsidRPr="001C0949">
        <w:t>po</w:t>
      </w:r>
      <w:r w:rsidR="00CE7B58" w:rsidRPr="001C0949">
        <w:t xml:space="preserve">datnik musi przedstawiać </w:t>
      </w:r>
      <w:r w:rsidR="000F02E9" w:rsidRPr="001C0949">
        <w:t>potwierdzeni</w:t>
      </w:r>
      <w:r w:rsidR="00CE7B58" w:rsidRPr="001C0949">
        <w:t xml:space="preserve">e </w:t>
      </w:r>
      <w:r w:rsidR="009D1B9E" w:rsidRPr="001C0949">
        <w:t>przekazania środków na swój rachunek</w:t>
      </w:r>
      <w:r w:rsidR="00CE7B58" w:rsidRPr="001C0949">
        <w:t xml:space="preserve"> </w:t>
      </w:r>
      <w:r w:rsidR="00AA4EC2" w:rsidRPr="001C0949">
        <w:t>umożliwiające</w:t>
      </w:r>
      <w:r w:rsidR="00CE7B58" w:rsidRPr="001C0949">
        <w:t xml:space="preserve"> identyfikację stron umowy </w:t>
      </w:r>
      <w:r w:rsidR="00AA4EC2" w:rsidRPr="001C0949">
        <w:t>darowizny</w:t>
      </w:r>
      <w:r w:rsidR="00687DE9" w:rsidRPr="001C0949">
        <w:rPr>
          <w:rStyle w:val="Odwoanieprzypisudolnego"/>
        </w:rPr>
        <w:footnoteReference w:id="33"/>
      </w:r>
      <w:r w:rsidR="00CE7B58" w:rsidRPr="001C0949">
        <w:t>.</w:t>
      </w:r>
      <w:r w:rsidR="00361B38" w:rsidRPr="001C0949">
        <w:t xml:space="preserve"> </w:t>
      </w:r>
      <w:r w:rsidR="008E298C" w:rsidRPr="001C0949">
        <w:t xml:space="preserve">Jednocześnie ustawodawca wprowadza zamknięty katalog </w:t>
      </w:r>
      <w:r w:rsidR="00AA4EC2" w:rsidRPr="001C0949">
        <w:t>rodzajów rachunków bankowych</w:t>
      </w:r>
      <w:r w:rsidR="009D1B9E" w:rsidRPr="001C0949">
        <w:t xml:space="preserve"> prowadzonych na rzecz obdarowanego,</w:t>
      </w:r>
      <w:r w:rsidR="00AA4EC2" w:rsidRPr="001C0949">
        <w:t xml:space="preserve"> na które może zostać dokonana wpłata, tj. rachunek płatniczy, rachunek </w:t>
      </w:r>
      <w:r w:rsidR="00687DE9" w:rsidRPr="001C0949">
        <w:t>inny niż płatniczy oraz</w:t>
      </w:r>
      <w:r w:rsidR="00AA4EC2" w:rsidRPr="001C0949">
        <w:t xml:space="preserve"> rachunek prowadzony przez spółdzielczą kasę oszczędnościowo-kredytową. W przypadku, gdy podatnik nie posiada żadnego z tych rachunków,</w:t>
      </w:r>
      <w:r w:rsidR="00C56803" w:rsidRPr="001C0949">
        <w:t xml:space="preserve"> rozporządzenie środkami </w:t>
      </w:r>
      <w:r w:rsidR="00687DE9" w:rsidRPr="001C0949">
        <w:t xml:space="preserve">może odbyć się za pośrednictwem przekazu pocztowego. </w:t>
      </w:r>
    </w:p>
    <w:p w14:paraId="04C312F7" w14:textId="349DEA3D" w:rsidR="00E63F4D" w:rsidRPr="001C0949" w:rsidRDefault="00772780" w:rsidP="00B364A1">
      <w:pPr>
        <w:spacing w:after="0" w:line="360" w:lineRule="auto"/>
        <w:ind w:firstLine="360"/>
        <w:jc w:val="both"/>
      </w:pPr>
      <w:r w:rsidRPr="001C0949">
        <w:t xml:space="preserve">Z pewnością nie można zakwestionować tego, </w:t>
      </w:r>
      <w:r w:rsidR="00DB78FC" w:rsidRPr="001C0949">
        <w:t>że</w:t>
      </w:r>
      <w:r w:rsidR="00687DE9" w:rsidRPr="001C0949">
        <w:t xml:space="preserve"> </w:t>
      </w:r>
      <w:r w:rsidR="00DB78FC" w:rsidRPr="001C0949">
        <w:t xml:space="preserve">w prawie podatkowym </w:t>
      </w:r>
      <w:r w:rsidR="001E219D" w:rsidRPr="001C0949">
        <w:t xml:space="preserve">polecenie </w:t>
      </w:r>
      <w:r w:rsidR="00687DE9" w:rsidRPr="001C0949">
        <w:t>przelew</w:t>
      </w:r>
      <w:r w:rsidR="001E219D" w:rsidRPr="001C0949">
        <w:t>u</w:t>
      </w:r>
      <w:r w:rsidR="00DB78FC" w:rsidRPr="001C0949">
        <w:t xml:space="preserve"> niejednokrotnie odgrywa kluczową rolę</w:t>
      </w:r>
      <w:r w:rsidRPr="001C0949">
        <w:t xml:space="preserve">. </w:t>
      </w:r>
      <w:r w:rsidR="00F2023B" w:rsidRPr="001C0949">
        <w:t>Jednak w</w:t>
      </w:r>
      <w:r w:rsidR="00601B62" w:rsidRPr="001C0949">
        <w:t xml:space="preserve"> rozstrzyganej przez NSA sprawie </w:t>
      </w:r>
      <w:r w:rsidR="007304E7" w:rsidRPr="001C0949">
        <w:t>argument ten</w:t>
      </w:r>
      <w:r w:rsidR="00C3719C" w:rsidRPr="001C0949">
        <w:t xml:space="preserve"> </w:t>
      </w:r>
      <w:r w:rsidR="007304E7" w:rsidRPr="001C0949">
        <w:t>nie może zostać uznany za decydujący</w:t>
      </w:r>
      <w:r w:rsidR="00C3719C" w:rsidRPr="001C0949">
        <w:t>.</w:t>
      </w:r>
      <w:r w:rsidRPr="001C0949">
        <w:t xml:space="preserve"> Ustawodawca w art. 4a ust. 1 pkt 2 </w:t>
      </w:r>
      <w:proofErr w:type="spellStart"/>
      <w:r w:rsidRPr="001C0949">
        <w:t>u.p.s.d</w:t>
      </w:r>
      <w:proofErr w:type="spellEnd"/>
      <w:r w:rsidRPr="001C0949">
        <w:t xml:space="preserve">. wskazuje na </w:t>
      </w:r>
      <w:r w:rsidR="00141A43" w:rsidRPr="001C0949">
        <w:t xml:space="preserve">konieczność </w:t>
      </w:r>
      <w:r w:rsidRPr="001C0949">
        <w:t>udokumentowani</w:t>
      </w:r>
      <w:r w:rsidR="00141A43" w:rsidRPr="001C0949">
        <w:t>a</w:t>
      </w:r>
      <w:r w:rsidRPr="001C0949">
        <w:t xml:space="preserve"> wpłaty środków pieniężnych na rachunek obdarowanego. </w:t>
      </w:r>
      <w:r w:rsidR="00B834B7" w:rsidRPr="001C0949">
        <w:t>Obdarowany</w:t>
      </w:r>
      <w:r w:rsidR="006903FC" w:rsidRPr="001C0949">
        <w:t xml:space="preserve"> zgłaszając</w:t>
      </w:r>
      <w:r w:rsidR="00B834B7" w:rsidRPr="001C0949">
        <w:t xml:space="preserve"> nabyci</w:t>
      </w:r>
      <w:r w:rsidR="006903FC" w:rsidRPr="001C0949">
        <w:t xml:space="preserve">e </w:t>
      </w:r>
      <w:r w:rsidR="00C56803" w:rsidRPr="001C0949">
        <w:t xml:space="preserve">jest obowiązany </w:t>
      </w:r>
      <w:r w:rsidR="006903FC" w:rsidRPr="001C0949">
        <w:t xml:space="preserve">zatem </w:t>
      </w:r>
      <w:r w:rsidR="00141A43" w:rsidRPr="001C0949">
        <w:t xml:space="preserve">przedstawić </w:t>
      </w:r>
      <w:r w:rsidR="00B834B7" w:rsidRPr="001C0949">
        <w:t>potwierdzen</w:t>
      </w:r>
      <w:r w:rsidR="00141A43" w:rsidRPr="001C0949">
        <w:t>ie</w:t>
      </w:r>
      <w:r w:rsidR="00B834B7" w:rsidRPr="001C0949">
        <w:t xml:space="preserve"> </w:t>
      </w:r>
      <w:r w:rsidR="009D1B9E" w:rsidRPr="001C0949">
        <w:t xml:space="preserve">otrzymania </w:t>
      </w:r>
      <w:r w:rsidR="00B834B7" w:rsidRPr="001C0949">
        <w:t>przelew</w:t>
      </w:r>
      <w:r w:rsidR="006903FC" w:rsidRPr="001C0949">
        <w:t>u</w:t>
      </w:r>
      <w:r w:rsidR="003A2B75" w:rsidRPr="001C0949">
        <w:rPr>
          <w:rStyle w:val="Odwoanieprzypisudolnego"/>
        </w:rPr>
        <w:footnoteReference w:id="34"/>
      </w:r>
      <w:r w:rsidR="00141A43" w:rsidRPr="001C0949">
        <w:t>. Taki sposób udokumentowania wynika wprost z przepisów ustawy o podatku od spadków i darowizn</w:t>
      </w:r>
      <w:r w:rsidR="00DE63D6" w:rsidRPr="001C0949">
        <w:t xml:space="preserve"> oraz j</w:t>
      </w:r>
      <w:r w:rsidR="009D1B9E" w:rsidRPr="001C0949">
        <w:t xml:space="preserve">ako </w:t>
      </w:r>
      <w:r w:rsidR="00141A43" w:rsidRPr="001C0949">
        <w:t xml:space="preserve">jedyny </w:t>
      </w:r>
      <w:r w:rsidR="009D1B9E" w:rsidRPr="001C0949">
        <w:t xml:space="preserve">uprawnia </w:t>
      </w:r>
      <w:r w:rsidR="00141A43" w:rsidRPr="001C0949">
        <w:t>do skorzystania ze zwolnienia</w:t>
      </w:r>
      <w:r w:rsidR="005D5FAB" w:rsidRPr="001C0949">
        <w:t xml:space="preserve"> podatkowego</w:t>
      </w:r>
      <w:r w:rsidR="00141A43" w:rsidRPr="001C0949">
        <w:rPr>
          <w:rStyle w:val="Odwoanieprzypisudolnego"/>
        </w:rPr>
        <w:footnoteReference w:id="35"/>
      </w:r>
      <w:r w:rsidR="00141A43" w:rsidRPr="001C0949">
        <w:t xml:space="preserve">. </w:t>
      </w:r>
      <w:r w:rsidR="00435D3D" w:rsidRPr="001C0949">
        <w:t>Natomiast w</w:t>
      </w:r>
      <w:r w:rsidR="009D1B9E" w:rsidRPr="001C0949">
        <w:t xml:space="preserve"> </w:t>
      </w:r>
      <w:proofErr w:type="spellStart"/>
      <w:r w:rsidR="009D1B9E" w:rsidRPr="001C0949">
        <w:t>glosowanym</w:t>
      </w:r>
      <w:proofErr w:type="spellEnd"/>
      <w:r w:rsidR="009D1B9E" w:rsidRPr="001C0949">
        <w:t xml:space="preserve"> wyroku należało ocenić skuteczność złożenia oświadczenia woli, a nie możliwość udokumentowania</w:t>
      </w:r>
      <w:r w:rsidR="008952B5" w:rsidRPr="001C0949">
        <w:t xml:space="preserve"> </w:t>
      </w:r>
      <w:r w:rsidR="009D1B9E" w:rsidRPr="001C0949">
        <w:t>czynności prawnej za jego pomocą.</w:t>
      </w:r>
      <w:r w:rsidR="006903FC" w:rsidRPr="001C0949">
        <w:t xml:space="preserve"> </w:t>
      </w:r>
      <w:r w:rsidR="005D5FAB" w:rsidRPr="001C0949">
        <w:t xml:space="preserve">Naczelny Sąd Administracyjny przeprowadził rozumowanie nieznajdujące podstaw </w:t>
      </w:r>
      <w:r w:rsidR="00D33C47" w:rsidRPr="001C0949">
        <w:t>w</w:t>
      </w:r>
      <w:r w:rsidR="005D5FAB" w:rsidRPr="001C0949">
        <w:t xml:space="preserve"> przepisach prawa</w:t>
      </w:r>
      <w:r w:rsidR="00E8567B" w:rsidRPr="001C0949">
        <w:t xml:space="preserve"> regulujących zasady wyboru opodatkowania </w:t>
      </w:r>
      <w:r w:rsidR="00644493" w:rsidRPr="001C0949">
        <w:t>w podatku dochodowym od osób fizycznych</w:t>
      </w:r>
      <w:r w:rsidR="005D5FAB" w:rsidRPr="001C0949">
        <w:t xml:space="preserve">. </w:t>
      </w:r>
      <w:r w:rsidR="001B2140" w:rsidRPr="001C0949">
        <w:t xml:space="preserve">W ocenie NSA, </w:t>
      </w:r>
      <w:r w:rsidR="0008631D" w:rsidRPr="001C0949">
        <w:t>skoro ustawodawca dopuszcza</w:t>
      </w:r>
      <w:r w:rsidR="006311B4" w:rsidRPr="001C0949">
        <w:t xml:space="preserve"> </w:t>
      </w:r>
      <w:r w:rsidR="0008631D" w:rsidRPr="001C0949">
        <w:t>możliwość udokumentowania danej czynności prawnej potwierdzeniem przelewu, to nie ma przeszkód, aby</w:t>
      </w:r>
      <w:r w:rsidR="00901EBC" w:rsidRPr="001C0949">
        <w:t xml:space="preserve"> w tytule przelewu podatnik mógł</w:t>
      </w:r>
      <w:r w:rsidR="004D7358" w:rsidRPr="001C0949">
        <w:t xml:space="preserve"> </w:t>
      </w:r>
      <w:r w:rsidR="00901EBC" w:rsidRPr="001C0949">
        <w:t xml:space="preserve">złożyć skuteczne oświadczenie woli o wyborze </w:t>
      </w:r>
      <w:r w:rsidR="00005BBB" w:rsidRPr="001C0949">
        <w:t xml:space="preserve">formy </w:t>
      </w:r>
      <w:r w:rsidR="00901EBC" w:rsidRPr="001C0949">
        <w:t xml:space="preserve">opodatkowania. </w:t>
      </w:r>
    </w:p>
    <w:p w14:paraId="1388D06A" w14:textId="6227B6BD" w:rsidR="007D71D8" w:rsidRPr="001C0949" w:rsidRDefault="006311B4" w:rsidP="0013336B">
      <w:pPr>
        <w:spacing w:after="0" w:line="360" w:lineRule="auto"/>
        <w:ind w:firstLine="360"/>
        <w:jc w:val="both"/>
      </w:pPr>
      <w:r w:rsidRPr="001C0949">
        <w:lastRenderedPageBreak/>
        <w:t>Zdaje się, że</w:t>
      </w:r>
      <w:r w:rsidR="002C19B7" w:rsidRPr="001C0949">
        <w:t xml:space="preserve"> </w:t>
      </w:r>
      <w:r w:rsidR="001359D2" w:rsidRPr="001C0949">
        <w:t>s</w:t>
      </w:r>
      <w:r w:rsidR="002C19B7" w:rsidRPr="001C0949">
        <w:t>ąd</w:t>
      </w:r>
      <w:r w:rsidR="00985F1A" w:rsidRPr="001C0949">
        <w:t xml:space="preserve"> </w:t>
      </w:r>
      <w:r w:rsidR="002C19B7" w:rsidRPr="001C0949">
        <w:t xml:space="preserve">doszedł do </w:t>
      </w:r>
      <w:r w:rsidR="00850D89" w:rsidRPr="001C0949">
        <w:t xml:space="preserve">tego </w:t>
      </w:r>
      <w:r w:rsidR="00901EBC" w:rsidRPr="001C0949">
        <w:t>wniosku</w:t>
      </w:r>
      <w:r w:rsidR="002C19B7" w:rsidRPr="001C0949">
        <w:t xml:space="preserve"> poprzez nieprawidłowe zastosowanie analogii</w:t>
      </w:r>
      <w:r w:rsidR="00754274" w:rsidRPr="001C0949">
        <w:t xml:space="preserve"> </w:t>
      </w:r>
      <w:r w:rsidR="00754274" w:rsidRPr="001C0949">
        <w:rPr>
          <w:i/>
          <w:iCs/>
        </w:rPr>
        <w:t>legis</w:t>
      </w:r>
      <w:r w:rsidR="002C19B7" w:rsidRPr="001C0949">
        <w:t xml:space="preserve">. </w:t>
      </w:r>
      <w:r w:rsidR="00473E0E" w:rsidRPr="001C0949">
        <w:t xml:space="preserve">Wnioskowanie </w:t>
      </w:r>
      <w:r w:rsidR="00473E0E" w:rsidRPr="001C0949">
        <w:rPr>
          <w:i/>
          <w:iCs/>
        </w:rPr>
        <w:t>per analogiam</w:t>
      </w:r>
      <w:r w:rsidR="00473E0E" w:rsidRPr="001C0949">
        <w:t xml:space="preserve"> </w:t>
      </w:r>
      <w:r w:rsidR="00A8791D" w:rsidRPr="001C0949">
        <w:t xml:space="preserve">polega na </w:t>
      </w:r>
      <w:r w:rsidR="000E7CC3" w:rsidRPr="001C0949">
        <w:t>s</w:t>
      </w:r>
      <w:r w:rsidR="00A8791D" w:rsidRPr="001C0949">
        <w:t>tworzeniu norm</w:t>
      </w:r>
      <w:r w:rsidR="000E7CC3" w:rsidRPr="001C0949">
        <w:t>y</w:t>
      </w:r>
      <w:r w:rsidR="00A8791D" w:rsidRPr="001C0949">
        <w:t xml:space="preserve"> prawn</w:t>
      </w:r>
      <w:r w:rsidR="000E7CC3" w:rsidRPr="001C0949">
        <w:t>ej</w:t>
      </w:r>
      <w:r w:rsidR="00A8791D" w:rsidRPr="001C0949">
        <w:t xml:space="preserve"> </w:t>
      </w:r>
      <w:r w:rsidR="000E7CC3" w:rsidRPr="001C0949">
        <w:t>na potrzeby rozstrzygnięcia konkretnej sprawy</w:t>
      </w:r>
      <w:r w:rsidR="003C013A" w:rsidRPr="001C0949">
        <w:t xml:space="preserve"> i ma na celu usunięcie istniejącej luki konstrukcyjnej</w:t>
      </w:r>
      <w:r w:rsidR="00C36A11" w:rsidRPr="001C0949">
        <w:rPr>
          <w:rStyle w:val="Odwoanieprzypisudolnego"/>
        </w:rPr>
        <w:footnoteReference w:id="36"/>
      </w:r>
      <w:r w:rsidR="000E7CC3" w:rsidRPr="001C0949">
        <w:t xml:space="preserve">. </w:t>
      </w:r>
      <w:r w:rsidR="00AD73E8" w:rsidRPr="001C0949">
        <w:t>Ten rodzaj</w:t>
      </w:r>
      <w:r w:rsidR="0019469F" w:rsidRPr="001C0949">
        <w:t xml:space="preserve"> wnioskowania </w:t>
      </w:r>
      <w:r w:rsidR="00F52219" w:rsidRPr="001C0949">
        <w:t xml:space="preserve">pozwala </w:t>
      </w:r>
      <w:r w:rsidR="00B04EEC" w:rsidRPr="001C0949">
        <w:t xml:space="preserve">na </w:t>
      </w:r>
      <w:r w:rsidR="005B57F1" w:rsidRPr="001C0949">
        <w:t>za</w:t>
      </w:r>
      <w:r w:rsidR="00EA76C2" w:rsidRPr="001C0949">
        <w:t>s</w:t>
      </w:r>
      <w:r w:rsidR="00C301CA" w:rsidRPr="001C0949">
        <w:t xml:space="preserve">tosowanie przepisu </w:t>
      </w:r>
      <w:r w:rsidR="005B57F1" w:rsidRPr="001C0949">
        <w:t xml:space="preserve">prawnego </w:t>
      </w:r>
      <w:r w:rsidR="00C301CA" w:rsidRPr="001C0949">
        <w:t xml:space="preserve">do przypadku podobnego, </w:t>
      </w:r>
      <w:r w:rsidR="008D669C" w:rsidRPr="001C0949">
        <w:t>ale nieuregulowanego</w:t>
      </w:r>
      <w:r w:rsidR="00C301CA" w:rsidRPr="001C0949">
        <w:t xml:space="preserve"> </w:t>
      </w:r>
      <w:r w:rsidR="007578A8" w:rsidRPr="001C0949">
        <w:t xml:space="preserve">przez </w:t>
      </w:r>
      <w:r w:rsidR="008D669C" w:rsidRPr="001C0949">
        <w:t>ustawodawcę</w:t>
      </w:r>
      <w:r w:rsidR="00254B57" w:rsidRPr="001C0949">
        <w:rPr>
          <w:rStyle w:val="Odwoanieprzypisudolnego"/>
        </w:rPr>
        <w:footnoteReference w:id="37"/>
      </w:r>
      <w:r w:rsidR="00780FA5" w:rsidRPr="001C0949">
        <w:t>.</w:t>
      </w:r>
      <w:r w:rsidR="008A2804" w:rsidRPr="001C0949">
        <w:t xml:space="preserve"> </w:t>
      </w:r>
      <w:r w:rsidR="007578A8" w:rsidRPr="001C0949">
        <w:t>Cechę</w:t>
      </w:r>
      <w:r w:rsidR="004F334D" w:rsidRPr="001C0949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4F334D" w:rsidRPr="001C0949">
        <w:t>podobieństwa do obowiązującej normy prawnej</w:t>
      </w:r>
      <w:r w:rsidR="00893F4C" w:rsidRPr="001C0949">
        <w:t xml:space="preserve"> </w:t>
      </w:r>
      <w:r w:rsidR="004F334D" w:rsidRPr="001C0949">
        <w:t xml:space="preserve">należy rozumieć </w:t>
      </w:r>
      <w:r w:rsidR="00BB02CC" w:rsidRPr="001C0949">
        <w:t xml:space="preserve">nie tylko jako podobieństwo </w:t>
      </w:r>
      <w:r w:rsidR="002D00D5" w:rsidRPr="001C0949">
        <w:t>elementów faktycznych i prawnych</w:t>
      </w:r>
      <w:r w:rsidR="006271D7" w:rsidRPr="001C0949">
        <w:t>, ale i celów regulacji</w:t>
      </w:r>
      <w:r w:rsidR="006271D7" w:rsidRPr="001C0949">
        <w:rPr>
          <w:rStyle w:val="Odwoanieprzypisudolnego"/>
        </w:rPr>
        <w:footnoteReference w:id="38"/>
      </w:r>
      <w:r w:rsidR="006271D7" w:rsidRPr="001C0949">
        <w:t>.</w:t>
      </w:r>
      <w:r w:rsidR="00F02F39" w:rsidRPr="001C0949">
        <w:t xml:space="preserve"> </w:t>
      </w:r>
      <w:r w:rsidR="005746BC" w:rsidRPr="001C0949">
        <w:t xml:space="preserve">Naczelny Sąd </w:t>
      </w:r>
      <w:r w:rsidR="00652A8B" w:rsidRPr="001C0949">
        <w:t>A</w:t>
      </w:r>
      <w:r w:rsidR="005746BC" w:rsidRPr="001C0949">
        <w:t xml:space="preserve">dministracyjny </w:t>
      </w:r>
      <w:r w:rsidR="00704D19" w:rsidRPr="001C0949">
        <w:t>mając wątpliwoś</w:t>
      </w:r>
      <w:r w:rsidR="00F012E8" w:rsidRPr="001C0949">
        <w:t>ci</w:t>
      </w:r>
      <w:r w:rsidR="00921720" w:rsidRPr="001C0949">
        <w:t>,</w:t>
      </w:r>
      <w:r w:rsidR="00F012E8" w:rsidRPr="001C0949">
        <w:t xml:space="preserve"> co do sposobu rozumienia </w:t>
      </w:r>
      <w:r w:rsidR="00BD4CDE" w:rsidRPr="001C0949">
        <w:t xml:space="preserve">wyrażenia „sporządzić coś na piśmie”, </w:t>
      </w:r>
      <w:proofErr w:type="gramStart"/>
      <w:r w:rsidR="00BD4CDE" w:rsidRPr="001C0949">
        <w:t>uznał</w:t>
      </w:r>
      <w:proofErr w:type="gramEnd"/>
      <w:r w:rsidR="002A7D26" w:rsidRPr="001C0949">
        <w:t xml:space="preserve"> że</w:t>
      </w:r>
      <w:r w:rsidR="005746BC" w:rsidRPr="001C0949">
        <w:t xml:space="preserve"> </w:t>
      </w:r>
      <w:r w:rsidR="00074123" w:rsidRPr="001C0949">
        <w:t xml:space="preserve">w </w:t>
      </w:r>
      <w:r w:rsidR="005746BC" w:rsidRPr="001C0949">
        <w:t xml:space="preserve">analizowanej sytuacji </w:t>
      </w:r>
      <w:r w:rsidR="00A07360" w:rsidRPr="001C0949">
        <w:rPr>
          <w:i/>
          <w:iCs/>
        </w:rPr>
        <w:t>per analogiam</w:t>
      </w:r>
      <w:r w:rsidR="004512C4" w:rsidRPr="001C0949">
        <w:t xml:space="preserve"> </w:t>
      </w:r>
      <w:r w:rsidR="004512C4" w:rsidRPr="001C0949">
        <w:rPr>
          <w:i/>
          <w:iCs/>
        </w:rPr>
        <w:t>extra legem</w:t>
      </w:r>
      <w:r w:rsidR="00C33164" w:rsidRPr="001C0949">
        <w:rPr>
          <w:rStyle w:val="Odwoanieprzypisudolnego"/>
        </w:rPr>
        <w:footnoteReference w:id="39"/>
      </w:r>
      <w:r w:rsidR="004512C4" w:rsidRPr="001C0949">
        <w:t xml:space="preserve"> </w:t>
      </w:r>
      <w:r w:rsidR="009523CE" w:rsidRPr="001C0949">
        <w:t xml:space="preserve"> zastosowanie znajduje </w:t>
      </w:r>
      <w:r w:rsidR="004512C4" w:rsidRPr="001C0949">
        <w:t xml:space="preserve">przepis art. 4a ust. 1 pkt 2 </w:t>
      </w:r>
      <w:proofErr w:type="spellStart"/>
      <w:r w:rsidR="004512C4" w:rsidRPr="001C0949">
        <w:t>u.p.s.d</w:t>
      </w:r>
      <w:proofErr w:type="spellEnd"/>
      <w:r w:rsidR="004512C4" w:rsidRPr="001C0949">
        <w:t>.</w:t>
      </w:r>
      <w:r w:rsidR="00D3378A" w:rsidRPr="001C0949">
        <w:t xml:space="preserve"> </w:t>
      </w:r>
      <w:r w:rsidR="00647472" w:rsidRPr="001C0949">
        <w:t>Za podstawę swojego rozumowania NSA przyjął</w:t>
      </w:r>
      <w:r w:rsidR="00405890" w:rsidRPr="001C0949">
        <w:t xml:space="preserve"> istniejący</w:t>
      </w:r>
      <w:r w:rsidR="001B0205" w:rsidRPr="001C0949">
        <w:t xml:space="preserve"> w obowiązujących przepisach</w:t>
      </w:r>
      <w:r w:rsidR="00405890" w:rsidRPr="001C0949">
        <w:t xml:space="preserve"> wzorzec </w:t>
      </w:r>
      <w:r w:rsidR="007C433B" w:rsidRPr="001C0949">
        <w:t xml:space="preserve">zachowania </w:t>
      </w:r>
      <w:r w:rsidR="00D84FC1" w:rsidRPr="001C0949">
        <w:t xml:space="preserve">umożliwiający </w:t>
      </w:r>
      <w:r w:rsidR="00616AD9" w:rsidRPr="001C0949">
        <w:t xml:space="preserve">obdarowanemu </w:t>
      </w:r>
      <w:r w:rsidR="00D84FC1" w:rsidRPr="001C0949">
        <w:t>skorzystanie ze zwolnienia</w:t>
      </w:r>
      <w:r w:rsidR="00616AD9" w:rsidRPr="001C0949">
        <w:t xml:space="preserve"> podatkowego</w:t>
      </w:r>
      <w:r w:rsidR="00D311DD" w:rsidRPr="001C0949">
        <w:t xml:space="preserve"> </w:t>
      </w:r>
      <w:r w:rsidR="00D84FC1" w:rsidRPr="001C0949">
        <w:t>po</w:t>
      </w:r>
      <w:r w:rsidR="00563E46" w:rsidRPr="001C0949">
        <w:t xml:space="preserve"> przedstawieniu dowodu w postaci pot</w:t>
      </w:r>
      <w:r w:rsidR="007C433B" w:rsidRPr="001C0949">
        <w:t>wierdzenia przelewu</w:t>
      </w:r>
      <w:r w:rsidR="00124E08" w:rsidRPr="001C0949">
        <w:t xml:space="preserve">. Takie działanie </w:t>
      </w:r>
      <w:r w:rsidR="008A2804" w:rsidRPr="001C0949">
        <w:t xml:space="preserve">sądu należy ocenić negatywnie. </w:t>
      </w:r>
      <w:r w:rsidR="00D43238" w:rsidRPr="001C0949">
        <w:t xml:space="preserve">W piśmiennictwie podkreśla się, że </w:t>
      </w:r>
      <w:r w:rsidR="00D81385" w:rsidRPr="001C0949">
        <w:t xml:space="preserve">w prawie podatkowym </w:t>
      </w:r>
      <w:r w:rsidR="00D43238" w:rsidRPr="001C0949">
        <w:t>wnioskowanie z analogii</w:t>
      </w:r>
      <w:r w:rsidR="00231CD0" w:rsidRPr="001C0949">
        <w:t xml:space="preserve"> powinno być stosowane z zachowaniem szczególnej ostrożności</w:t>
      </w:r>
      <w:r w:rsidR="00DD2E87" w:rsidRPr="001C0949">
        <w:t xml:space="preserve"> z uwagi na </w:t>
      </w:r>
      <w:r w:rsidR="00A8006C" w:rsidRPr="001C0949">
        <w:t xml:space="preserve">publicznoprawny </w:t>
      </w:r>
      <w:r w:rsidR="00DD2E87" w:rsidRPr="001C0949">
        <w:t>charakter</w:t>
      </w:r>
      <w:r w:rsidR="00A8006C" w:rsidRPr="001C0949">
        <w:t xml:space="preserve"> norm</w:t>
      </w:r>
      <w:r w:rsidR="00DD2E87" w:rsidRPr="001C0949">
        <w:t xml:space="preserve"> tej gałęzi prawa</w:t>
      </w:r>
      <w:r w:rsidR="00624A74" w:rsidRPr="001C0949">
        <w:rPr>
          <w:rStyle w:val="Odwoanieprzypisudolnego"/>
        </w:rPr>
        <w:footnoteReference w:id="40"/>
      </w:r>
      <w:r w:rsidR="00DD2E87" w:rsidRPr="001C0949">
        <w:t xml:space="preserve">. </w:t>
      </w:r>
      <w:r w:rsidR="007E7E6D" w:rsidRPr="001C0949">
        <w:t xml:space="preserve">Analogia w prawie podatkowym stwarza niebezpieczeństwo rozszerzenia stanów faktycznych podlegających opodatkowaniu, </w:t>
      </w:r>
      <w:r w:rsidR="004926EC" w:rsidRPr="001C0949">
        <w:t xml:space="preserve">co </w:t>
      </w:r>
      <w:r w:rsidR="00F63398" w:rsidRPr="001C0949">
        <w:t xml:space="preserve">może skutkować </w:t>
      </w:r>
      <w:r w:rsidR="007E7E6D" w:rsidRPr="001C0949">
        <w:t>nałożeni</w:t>
      </w:r>
      <w:r w:rsidR="004926EC" w:rsidRPr="001C0949">
        <w:t>em</w:t>
      </w:r>
      <w:r w:rsidR="007E7E6D" w:rsidRPr="001C0949">
        <w:t xml:space="preserve"> </w:t>
      </w:r>
      <w:r w:rsidR="00B234E5" w:rsidRPr="001C0949">
        <w:t>na podatnika</w:t>
      </w:r>
      <w:r w:rsidR="004926EC" w:rsidRPr="001C0949">
        <w:t xml:space="preserve"> </w:t>
      </w:r>
      <w:r w:rsidR="00734223" w:rsidRPr="001C0949">
        <w:t xml:space="preserve">dodatkowych obowiązków poza tymi, </w:t>
      </w:r>
      <w:r w:rsidR="00151DFD" w:rsidRPr="001C0949">
        <w:t xml:space="preserve">które można wyprowadzić z </w:t>
      </w:r>
      <w:r w:rsidR="001C2CFC" w:rsidRPr="001C0949">
        <w:t>przepisów ustawy podatkowej</w:t>
      </w:r>
      <w:r w:rsidR="0005175C" w:rsidRPr="001C0949">
        <w:rPr>
          <w:rStyle w:val="Odwoanieprzypisudolnego"/>
        </w:rPr>
        <w:footnoteReference w:id="41"/>
      </w:r>
      <w:r w:rsidR="00734223" w:rsidRPr="001C0949">
        <w:t xml:space="preserve">. </w:t>
      </w:r>
    </w:p>
    <w:p w14:paraId="3F6EFA73" w14:textId="6FF78FDA" w:rsidR="00FF227F" w:rsidRPr="001C0949" w:rsidRDefault="00BB7797" w:rsidP="00FF227F">
      <w:pPr>
        <w:spacing w:after="0" w:line="360" w:lineRule="auto"/>
        <w:jc w:val="both"/>
      </w:pPr>
      <w:r w:rsidRPr="001C0949">
        <w:tab/>
      </w:r>
    </w:p>
    <w:p w14:paraId="7A3E2D1D" w14:textId="1F4BF126" w:rsidR="00DA09AF" w:rsidRPr="001C0949" w:rsidRDefault="00E26F89" w:rsidP="00FF227F">
      <w:pPr>
        <w:spacing w:after="0" w:line="360" w:lineRule="auto"/>
        <w:jc w:val="both"/>
        <w:rPr>
          <w:b/>
          <w:bCs/>
        </w:rPr>
      </w:pPr>
      <w:r w:rsidRPr="001C0949">
        <w:rPr>
          <w:b/>
          <w:bCs/>
        </w:rPr>
        <w:t>Uwagi końcowe</w:t>
      </w:r>
      <w:r w:rsidR="005D5FAB" w:rsidRPr="001C0949">
        <w:rPr>
          <w:b/>
          <w:bCs/>
        </w:rPr>
        <w:t xml:space="preserve"> </w:t>
      </w:r>
    </w:p>
    <w:p w14:paraId="207C04CA" w14:textId="4F42D6C3" w:rsidR="002F1E5B" w:rsidRPr="001C0949" w:rsidRDefault="00BC2CC3" w:rsidP="002F1E5B">
      <w:pPr>
        <w:spacing w:after="0" w:line="360" w:lineRule="auto"/>
        <w:ind w:firstLine="360"/>
        <w:jc w:val="both"/>
      </w:pPr>
      <w:r w:rsidRPr="001C0949">
        <w:t xml:space="preserve">W świetle obowiązujących przepisów prawnych nie można twierdzić, że oświadczenie woli o wyborze </w:t>
      </w:r>
      <w:r w:rsidR="00005BBB" w:rsidRPr="001C0949">
        <w:t>formy</w:t>
      </w:r>
      <w:r w:rsidRPr="001C0949">
        <w:t xml:space="preserve"> opodatkowania może być skutecznie złożone w </w:t>
      </w:r>
      <w:r w:rsidR="0030566B" w:rsidRPr="001C0949">
        <w:lastRenderedPageBreak/>
        <w:t>treści tytułu</w:t>
      </w:r>
      <w:r w:rsidR="00CE1D25" w:rsidRPr="001C0949">
        <w:t xml:space="preserve"> polecenia przelewu</w:t>
      </w:r>
      <w:r w:rsidRPr="001C0949">
        <w:t xml:space="preserve">. </w:t>
      </w:r>
      <w:r w:rsidR="00D22BEC" w:rsidRPr="001C0949">
        <w:t xml:space="preserve">W </w:t>
      </w:r>
      <w:r w:rsidR="005003E7" w:rsidRPr="001C0949">
        <w:t>analizowanej</w:t>
      </w:r>
      <w:r w:rsidR="00D22BEC" w:rsidRPr="001C0949">
        <w:t xml:space="preserve"> sprawie NSA </w:t>
      </w:r>
      <w:r w:rsidR="00516E26" w:rsidRPr="001C0949">
        <w:t xml:space="preserve">dokonał wykładni przepisu art. 9a ust. 2 </w:t>
      </w:r>
      <w:proofErr w:type="spellStart"/>
      <w:r w:rsidR="00516E26" w:rsidRPr="001C0949">
        <w:t>u.p.d.o.f</w:t>
      </w:r>
      <w:proofErr w:type="spellEnd"/>
      <w:r w:rsidR="00516E26" w:rsidRPr="001C0949">
        <w:t>. z zastosowaniem</w:t>
      </w:r>
      <w:r w:rsidR="00E0542F" w:rsidRPr="001C0949">
        <w:t xml:space="preserve"> </w:t>
      </w:r>
      <w:r w:rsidR="006B7740" w:rsidRPr="001C0949">
        <w:t xml:space="preserve">wyłącznie </w:t>
      </w:r>
      <w:r w:rsidR="00516E26" w:rsidRPr="001C0949">
        <w:t>regu</w:t>
      </w:r>
      <w:r w:rsidR="008972F1" w:rsidRPr="001C0949">
        <w:t>ł językowyc</w:t>
      </w:r>
      <w:r w:rsidR="00771268" w:rsidRPr="001C0949">
        <w:t>h.</w:t>
      </w:r>
      <w:r w:rsidR="00AA27CD" w:rsidRPr="001C0949">
        <w:t xml:space="preserve"> </w:t>
      </w:r>
      <w:r w:rsidR="00B45E55" w:rsidRPr="001C0949">
        <w:t xml:space="preserve">Posłużenie się przez ustawodawcę </w:t>
      </w:r>
      <w:r w:rsidR="00632C67" w:rsidRPr="001C0949">
        <w:t xml:space="preserve">sformułowaniem „sporządzić coś na piśmie” prowadzi do wniosku, że </w:t>
      </w:r>
      <w:r w:rsidR="00AA27CD" w:rsidRPr="001C0949">
        <w:t xml:space="preserve">podatnik może skutecznie dokonać wyboru </w:t>
      </w:r>
      <w:r w:rsidR="00005BBB" w:rsidRPr="001C0949">
        <w:t>formy</w:t>
      </w:r>
      <w:r w:rsidR="00AA27CD" w:rsidRPr="001C0949">
        <w:t xml:space="preserve"> opodatkowania</w:t>
      </w:r>
      <w:r w:rsidR="00A836F6" w:rsidRPr="001C0949">
        <w:t>,</w:t>
      </w:r>
      <w:r w:rsidR="00AA27CD" w:rsidRPr="001C0949">
        <w:t xml:space="preserve"> składając oświadczenie</w:t>
      </w:r>
      <w:r w:rsidR="006B7740" w:rsidRPr="001C0949">
        <w:t xml:space="preserve"> woli</w:t>
      </w:r>
      <w:r w:rsidR="00AA27CD" w:rsidRPr="001C0949">
        <w:t xml:space="preserve"> w postaci elektronicznej</w:t>
      </w:r>
      <w:r w:rsidR="00F837DD" w:rsidRPr="001C0949">
        <w:t>.</w:t>
      </w:r>
      <w:r w:rsidR="00DB7036" w:rsidRPr="001C0949">
        <w:t xml:space="preserve"> </w:t>
      </w:r>
      <w:r w:rsidR="00715CFA" w:rsidRPr="001C0949">
        <w:t>Dopiero</w:t>
      </w:r>
      <w:r w:rsidR="00DB7036" w:rsidRPr="001C0949">
        <w:t xml:space="preserve"> </w:t>
      </w:r>
      <w:r w:rsidR="00364931" w:rsidRPr="001C0949">
        <w:t>u</w:t>
      </w:r>
      <w:r w:rsidR="00DE2505" w:rsidRPr="001C0949">
        <w:t>względnienie</w:t>
      </w:r>
      <w:r w:rsidR="00DF1DD7" w:rsidRPr="001C0949">
        <w:t xml:space="preserve"> reguł</w:t>
      </w:r>
      <w:r w:rsidR="008A11FA" w:rsidRPr="001C0949">
        <w:t xml:space="preserve"> systemowych i </w:t>
      </w:r>
      <w:r w:rsidR="00DF1DD7" w:rsidRPr="001C0949">
        <w:t>funkcjonalnych</w:t>
      </w:r>
      <w:r w:rsidR="00B658AF" w:rsidRPr="001C0949">
        <w:t xml:space="preserve"> </w:t>
      </w:r>
      <w:r w:rsidR="00DF1DD7" w:rsidRPr="001C0949">
        <w:t xml:space="preserve">zmienia </w:t>
      </w:r>
      <w:r w:rsidR="00A42F85" w:rsidRPr="001C0949">
        <w:t>sens rezultatu wykładni językowej.</w:t>
      </w:r>
      <w:r w:rsidR="007822AF" w:rsidRPr="001C0949">
        <w:t xml:space="preserve"> Wyrażenie „sporządzić coś na piśmie”, którym posługuje się ustawodawca w przepisie art. 9a ust</w:t>
      </w:r>
      <w:r w:rsidR="0065343B" w:rsidRPr="001C0949">
        <w:t xml:space="preserve">. 2 </w:t>
      </w:r>
      <w:proofErr w:type="spellStart"/>
      <w:r w:rsidR="0065343B" w:rsidRPr="001C0949">
        <w:t>u.p.d.o.f</w:t>
      </w:r>
      <w:proofErr w:type="spellEnd"/>
      <w:r w:rsidR="0065343B" w:rsidRPr="001C0949">
        <w:t>.</w:t>
      </w:r>
      <w:r w:rsidR="00651D8E" w:rsidRPr="001C0949">
        <w:t xml:space="preserve">, </w:t>
      </w:r>
      <w:r w:rsidR="00134A63" w:rsidRPr="001C0949">
        <w:t xml:space="preserve">oznacza, że podatnik może </w:t>
      </w:r>
      <w:r w:rsidR="00921BCC" w:rsidRPr="001C0949">
        <w:t>złożyć</w:t>
      </w:r>
      <w:r w:rsidR="003507DF" w:rsidRPr="001C0949">
        <w:t xml:space="preserve"> oświadczenie woli </w:t>
      </w:r>
      <w:r w:rsidR="002E0DA3" w:rsidRPr="001C0949">
        <w:t xml:space="preserve">zarówno </w:t>
      </w:r>
      <w:r w:rsidR="003507DF" w:rsidRPr="001C0949">
        <w:t xml:space="preserve">w postaci pisemnej, jak elektronicznej. </w:t>
      </w:r>
      <w:r w:rsidR="00973D04" w:rsidRPr="001C0949">
        <w:t>Jednak</w:t>
      </w:r>
      <w:r w:rsidR="002E0DA3" w:rsidRPr="001C0949">
        <w:t xml:space="preserve"> z</w:t>
      </w:r>
      <w:r w:rsidR="004C6C1C" w:rsidRPr="001C0949">
        <w:t xml:space="preserve"> uwagi na konsekwencje </w:t>
      </w:r>
      <w:r w:rsidR="0068257F" w:rsidRPr="001C0949">
        <w:t xml:space="preserve">prawnopodatkowe </w:t>
      </w:r>
      <w:r w:rsidR="00715CFA" w:rsidRPr="001C0949">
        <w:t>oświadczenie to musi zostać</w:t>
      </w:r>
      <w:r w:rsidR="002B4333" w:rsidRPr="001C0949">
        <w:t xml:space="preserve"> przez niego</w:t>
      </w:r>
      <w:r w:rsidR="00715CFA" w:rsidRPr="001C0949">
        <w:t xml:space="preserve"> podpisane</w:t>
      </w:r>
      <w:r w:rsidR="004C6C1C" w:rsidRPr="001C0949">
        <w:t>.</w:t>
      </w:r>
      <w:r w:rsidR="00715CFA" w:rsidRPr="001C0949">
        <w:t xml:space="preserve"> Zgodnie z </w:t>
      </w:r>
      <w:r w:rsidR="00E11571" w:rsidRPr="001C0949">
        <w:t>przepisami Ordynacji podatkowej podpis może być własnoręczny albo elektroniczn</w:t>
      </w:r>
      <w:r w:rsidR="00507253" w:rsidRPr="001C0949">
        <w:t>y.</w:t>
      </w:r>
      <w:r w:rsidR="004C6C1C" w:rsidRPr="001C0949">
        <w:t xml:space="preserve"> </w:t>
      </w:r>
    </w:p>
    <w:p w14:paraId="1FDC8780" w14:textId="3F5B255E" w:rsidR="00B30D87" w:rsidRPr="00AA2859" w:rsidRDefault="00973D04" w:rsidP="004E0B99">
      <w:pPr>
        <w:spacing w:after="0" w:line="360" w:lineRule="auto"/>
        <w:ind w:firstLine="360"/>
        <w:jc w:val="both"/>
      </w:pPr>
      <w:r w:rsidRPr="001C0949">
        <w:t xml:space="preserve">Normy prawa podatkowego mają charakter publicznoprawny, dlatego wykładnia przepisów tej gałęzi prawa wymaga zachowania szczególnej ostrożności. </w:t>
      </w:r>
      <w:r w:rsidR="00E010BE" w:rsidRPr="001C0949">
        <w:t>Stwierdzenie</w:t>
      </w:r>
      <w:r w:rsidR="00B14EEB" w:rsidRPr="001C0949">
        <w:t>, że podatnik może</w:t>
      </w:r>
      <w:r w:rsidR="004B017C" w:rsidRPr="001C0949">
        <w:t xml:space="preserve"> skutecznie</w:t>
      </w:r>
      <w:r w:rsidR="00B14EEB" w:rsidRPr="001C0949">
        <w:t xml:space="preserve"> złożyć oświadczenie woli </w:t>
      </w:r>
      <w:r w:rsidR="004B017C" w:rsidRPr="001C0949">
        <w:t xml:space="preserve">o zmianie </w:t>
      </w:r>
      <w:r w:rsidR="005F2187" w:rsidRPr="001C0949">
        <w:t xml:space="preserve">formy opodatkowania </w:t>
      </w:r>
      <w:r w:rsidR="00B14EEB" w:rsidRPr="001C0949">
        <w:t xml:space="preserve">w treści </w:t>
      </w:r>
      <w:r w:rsidR="000C28A7" w:rsidRPr="001C0949">
        <w:t xml:space="preserve">polecenia </w:t>
      </w:r>
      <w:r w:rsidR="00B14EEB" w:rsidRPr="001C0949">
        <w:t xml:space="preserve">przelewu </w:t>
      </w:r>
      <w:r w:rsidR="00F33611" w:rsidRPr="001C0949">
        <w:t>rodzi</w:t>
      </w:r>
      <w:r w:rsidR="004025FA" w:rsidRPr="001C0949">
        <w:t xml:space="preserve"> </w:t>
      </w:r>
      <w:r w:rsidR="00970866" w:rsidRPr="001C0949">
        <w:t>wątpliwości</w:t>
      </w:r>
      <w:r w:rsidR="00E3343C" w:rsidRPr="001C0949">
        <w:t xml:space="preserve">. </w:t>
      </w:r>
      <w:r w:rsidR="00260083" w:rsidRPr="001C0949">
        <w:t xml:space="preserve">Przyjęcie domniemania </w:t>
      </w:r>
      <w:r w:rsidR="00ED52AE" w:rsidRPr="001C0949">
        <w:t xml:space="preserve">skutecznego </w:t>
      </w:r>
      <w:r w:rsidR="00260083" w:rsidRPr="001C0949">
        <w:t xml:space="preserve">złożenia oświadczenia woli </w:t>
      </w:r>
      <w:r w:rsidR="00ED52AE" w:rsidRPr="001C0949">
        <w:t xml:space="preserve">o wyborze </w:t>
      </w:r>
      <w:r w:rsidR="002E1540" w:rsidRPr="001C0949">
        <w:t xml:space="preserve">formy </w:t>
      </w:r>
      <w:r w:rsidR="00ED52AE" w:rsidRPr="001C0949">
        <w:t>opodatkowania</w:t>
      </w:r>
      <w:r w:rsidR="002E1540" w:rsidRPr="001C0949">
        <w:t xml:space="preserve"> może doprowadzić do rozszerzenia</w:t>
      </w:r>
      <w:r w:rsidR="00B3615C" w:rsidRPr="001C0949">
        <w:t xml:space="preserve"> </w:t>
      </w:r>
      <w:r w:rsidR="002E1540" w:rsidRPr="001C0949">
        <w:t>uprawnień i obowiązków podatnika</w:t>
      </w:r>
      <w:r w:rsidR="00B3615C" w:rsidRPr="001C0949">
        <w:t xml:space="preserve"> </w:t>
      </w:r>
      <w:r w:rsidR="002C6CAB" w:rsidRPr="001C0949">
        <w:t>ponad te, które wynika</w:t>
      </w:r>
      <w:r w:rsidR="007F3054" w:rsidRPr="001C0949">
        <w:t>ją</w:t>
      </w:r>
      <w:r w:rsidR="002C6CAB" w:rsidRPr="001C0949">
        <w:t xml:space="preserve"> z ustawy podatkowej.</w:t>
      </w:r>
      <w:r w:rsidR="002A30CF">
        <w:t xml:space="preserve"> </w:t>
      </w:r>
      <w:r w:rsidR="004E0B99" w:rsidRPr="001C0949">
        <w:t xml:space="preserve">Norma kompetencyjna wynikająca z </w:t>
      </w:r>
      <w:r w:rsidR="00E66338" w:rsidRPr="001C0949">
        <w:t xml:space="preserve">przepisu art. 9a ust. 2 </w:t>
      </w:r>
      <w:proofErr w:type="spellStart"/>
      <w:r w:rsidR="00E66338" w:rsidRPr="001C0949">
        <w:t>u.p.d.o.f</w:t>
      </w:r>
      <w:proofErr w:type="spellEnd"/>
      <w:r w:rsidR="00E66338">
        <w:t>.</w:t>
      </w:r>
      <w:r w:rsidR="00E66338" w:rsidRPr="001C0949">
        <w:t xml:space="preserve"> </w:t>
      </w:r>
      <w:r w:rsidR="004E0B99" w:rsidRPr="001C0949">
        <w:t xml:space="preserve">zakłada, że tylko oświadczenie podatnika złożone w postaci papierowej albo elektronicznej oraz opatrzone właściwym podpisem może być utożsamiane z czynnością konwencjonalną doniosłą prawnie. </w:t>
      </w:r>
      <w:r w:rsidR="00A40051" w:rsidRPr="001C0949">
        <w:t>W konsekwencji w</w:t>
      </w:r>
      <w:r w:rsidR="00A35317" w:rsidRPr="001C0949">
        <w:t>ybór formy opodatkowania za pośrednictwem polecenia przelewu</w:t>
      </w:r>
      <w:r w:rsidR="00B36DBA" w:rsidRPr="001C0949">
        <w:t xml:space="preserve"> bankowego</w:t>
      </w:r>
      <w:r w:rsidR="00A35317" w:rsidRPr="001C0949">
        <w:t xml:space="preserve"> nie </w:t>
      </w:r>
      <w:r w:rsidR="007B29F1" w:rsidRPr="001C0949">
        <w:t>spełnia wymogów określonych w przepisach prawa podatkowego</w:t>
      </w:r>
      <w:r w:rsidR="00016E48" w:rsidRPr="001C0949">
        <w:t xml:space="preserve"> i nie stanowi czynności konwencjonalnej doniosłej prawnie. Tym samym</w:t>
      </w:r>
      <w:r w:rsidR="008B4951" w:rsidRPr="001C0949">
        <w:t xml:space="preserve"> </w:t>
      </w:r>
      <w:r w:rsidR="00A456F1" w:rsidRPr="001C0949">
        <w:t xml:space="preserve">czynność ta </w:t>
      </w:r>
      <w:r w:rsidR="007B29F1" w:rsidRPr="001C0949">
        <w:t>n</w:t>
      </w:r>
      <w:r w:rsidR="000A6283" w:rsidRPr="001C0949">
        <w:t xml:space="preserve">ie </w:t>
      </w:r>
      <w:r w:rsidR="007B29F1" w:rsidRPr="001C0949">
        <w:t xml:space="preserve">może </w:t>
      </w:r>
      <w:r w:rsidR="000A6283" w:rsidRPr="001C0949">
        <w:t>prowadzi</w:t>
      </w:r>
      <w:r w:rsidR="007B29F1" w:rsidRPr="001C0949">
        <w:t>ć do</w:t>
      </w:r>
      <w:r w:rsidR="000A6283" w:rsidRPr="001C0949">
        <w:t xml:space="preserve"> powstania </w:t>
      </w:r>
      <w:r w:rsidR="00C033F1" w:rsidRPr="001C0949">
        <w:t xml:space="preserve">obowiązku </w:t>
      </w:r>
      <w:r w:rsidR="0019470B" w:rsidRPr="001C0949">
        <w:t>po stronie</w:t>
      </w:r>
      <w:r w:rsidR="002971DF" w:rsidRPr="001C0949">
        <w:t xml:space="preserve"> adresata normy kompetencyjnej, którym jest</w:t>
      </w:r>
      <w:r w:rsidR="0019470B" w:rsidRPr="001C0949">
        <w:t xml:space="preserve"> organ </w:t>
      </w:r>
      <w:r w:rsidR="002971DF" w:rsidRPr="001C0949">
        <w:t>podatkowy</w:t>
      </w:r>
      <w:r w:rsidR="00167BBF" w:rsidRPr="001C0949">
        <w:t>.</w:t>
      </w:r>
      <w:r w:rsidR="00167BBF">
        <w:t xml:space="preserve"> </w:t>
      </w:r>
    </w:p>
    <w:p w14:paraId="798B6807" w14:textId="77777777" w:rsidR="009E4E52" w:rsidRPr="00AA2859" w:rsidRDefault="009E4E52" w:rsidP="002F1E5B">
      <w:pPr>
        <w:spacing w:after="0" w:line="360" w:lineRule="auto"/>
        <w:ind w:firstLine="360"/>
        <w:jc w:val="both"/>
      </w:pPr>
    </w:p>
    <w:p w14:paraId="78A44568" w14:textId="77777777" w:rsidR="009E4E52" w:rsidRPr="00AA2859" w:rsidRDefault="009E4E52" w:rsidP="002F1E5B">
      <w:pPr>
        <w:spacing w:after="0" w:line="360" w:lineRule="auto"/>
        <w:ind w:firstLine="360"/>
        <w:jc w:val="both"/>
      </w:pPr>
    </w:p>
    <w:p w14:paraId="2D9263D0" w14:textId="77777777" w:rsidR="009E4E52" w:rsidRPr="00AA2859" w:rsidRDefault="009E4E52" w:rsidP="002F1E5B">
      <w:pPr>
        <w:spacing w:after="0" w:line="360" w:lineRule="auto"/>
        <w:ind w:firstLine="360"/>
        <w:jc w:val="both"/>
      </w:pPr>
    </w:p>
    <w:p w14:paraId="3891879A" w14:textId="77777777" w:rsidR="009E4E52" w:rsidRPr="00AA2859" w:rsidRDefault="009E4E52" w:rsidP="002F1E5B">
      <w:pPr>
        <w:spacing w:after="0" w:line="360" w:lineRule="auto"/>
        <w:ind w:firstLine="360"/>
        <w:jc w:val="both"/>
      </w:pPr>
    </w:p>
    <w:p w14:paraId="4AE7C988" w14:textId="77777777" w:rsidR="00AA2859" w:rsidRPr="00AA2859" w:rsidRDefault="00AA2859" w:rsidP="002F1E5B">
      <w:pPr>
        <w:spacing w:after="0" w:line="360" w:lineRule="auto"/>
        <w:ind w:firstLine="360"/>
        <w:jc w:val="both"/>
      </w:pPr>
    </w:p>
    <w:p w14:paraId="7C730A5E" w14:textId="4A022BF3" w:rsidR="009E4E52" w:rsidRPr="00AA2859" w:rsidRDefault="009E4E52" w:rsidP="00C92701">
      <w:pPr>
        <w:spacing w:after="0" w:line="360" w:lineRule="auto"/>
        <w:ind w:firstLine="360"/>
        <w:jc w:val="both"/>
        <w:rPr>
          <w:b/>
          <w:bCs/>
        </w:rPr>
      </w:pPr>
      <w:r w:rsidRPr="00AA2859">
        <w:rPr>
          <w:b/>
          <w:bCs/>
        </w:rPr>
        <w:t xml:space="preserve"> Bibliografia:</w:t>
      </w:r>
    </w:p>
    <w:p w14:paraId="152BB6F7" w14:textId="77777777" w:rsidR="00C92701" w:rsidRPr="00AA2859" w:rsidRDefault="00C92701" w:rsidP="00C92701">
      <w:pPr>
        <w:spacing w:after="0" w:line="360" w:lineRule="auto"/>
        <w:ind w:firstLine="360"/>
        <w:jc w:val="both"/>
        <w:rPr>
          <w:b/>
          <w:bCs/>
        </w:rPr>
      </w:pPr>
    </w:p>
    <w:p w14:paraId="034EFFC9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lastRenderedPageBreak/>
        <w:t xml:space="preserve">Bajor A., Komentarz do art. 7 pr. bank., [w:] </w:t>
      </w:r>
      <w:r w:rsidRPr="009546E8">
        <w:rPr>
          <w:i/>
          <w:iCs/>
        </w:rPr>
        <w:t>Prawo bankowe. Komentarz do przepisów cywilnoprawnych</w:t>
      </w:r>
      <w:r w:rsidRPr="00AA2859">
        <w:t xml:space="preserve">, red. L. </w:t>
      </w:r>
      <w:proofErr w:type="spellStart"/>
      <w:r w:rsidRPr="00AA2859">
        <w:t>Kociucki</w:t>
      </w:r>
      <w:proofErr w:type="spellEnd"/>
      <w:r w:rsidRPr="00AA2859">
        <w:t>, J. M. Kondek, K. Królikowska, B. Bajor, Warszawa 2020.</w:t>
      </w:r>
    </w:p>
    <w:p w14:paraId="08B7640A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proofErr w:type="spellStart"/>
      <w:r w:rsidRPr="00AA2859">
        <w:t>Brolik</w:t>
      </w:r>
      <w:proofErr w:type="spellEnd"/>
      <w:r w:rsidRPr="00AA2859">
        <w:t xml:space="preserve"> J., </w:t>
      </w:r>
      <w:r w:rsidRPr="009546E8">
        <w:rPr>
          <w:i/>
          <w:iCs/>
        </w:rPr>
        <w:t>Wykładnia prawa podatkowego oraz jej determinanty</w:t>
      </w:r>
      <w:r w:rsidRPr="00AA2859">
        <w:t>, „Zeszyty Naukowe Sądownictwa Administracyjnego” 2014, nr 3.</w:t>
      </w:r>
    </w:p>
    <w:p w14:paraId="7E8598F1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Brzozowski A., Kocot W. J., E. Skowrońska-Bocian, </w:t>
      </w:r>
      <w:r w:rsidRPr="009546E8">
        <w:rPr>
          <w:i/>
          <w:iCs/>
        </w:rPr>
        <w:t>Prawo cywilne. Część ogólna</w:t>
      </w:r>
      <w:r w:rsidRPr="00AA2859">
        <w:t xml:space="preserve">, Warszawa 2010. </w:t>
      </w:r>
    </w:p>
    <w:p w14:paraId="6649470E" w14:textId="77777777" w:rsidR="009546E8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Byrski J., Komentarz do art. 7 pr. bank, [w:] </w:t>
      </w:r>
      <w:r w:rsidRPr="009546E8">
        <w:rPr>
          <w:i/>
          <w:iCs/>
        </w:rPr>
        <w:t>Prawo bankowe. Komentarz</w:t>
      </w:r>
      <w:r w:rsidRPr="00AA2859">
        <w:t xml:space="preserve">, red. serii K. </w:t>
      </w:r>
      <w:proofErr w:type="spellStart"/>
      <w:r w:rsidRPr="00AA2859">
        <w:t>Osajda</w:t>
      </w:r>
      <w:proofErr w:type="spellEnd"/>
      <w:r w:rsidRPr="00AA2859">
        <w:t xml:space="preserve">, red. tomu J. </w:t>
      </w:r>
      <w:proofErr w:type="spellStart"/>
      <w:r w:rsidRPr="00AA2859">
        <w:t>Dybiński</w:t>
      </w:r>
      <w:proofErr w:type="spellEnd"/>
      <w:r w:rsidRPr="00AA2859">
        <w:t xml:space="preserve">, </w:t>
      </w:r>
      <w:proofErr w:type="spellStart"/>
      <w:r w:rsidRPr="00AA2859">
        <w:t>Legalis</w:t>
      </w:r>
      <w:proofErr w:type="spellEnd"/>
      <w:r w:rsidRPr="00AA2859">
        <w:t xml:space="preserve"> 2024. </w:t>
      </w:r>
    </w:p>
    <w:p w14:paraId="13C2FBE8" w14:textId="30F3D4E4" w:rsidR="00046632" w:rsidRPr="00AA2859" w:rsidRDefault="00046632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proofErr w:type="spellStart"/>
      <w:r w:rsidRPr="00046632">
        <w:t>Czepita</w:t>
      </w:r>
      <w:proofErr w:type="spellEnd"/>
      <w:r>
        <w:t xml:space="preserve"> </w:t>
      </w:r>
      <w:r w:rsidR="001F3536">
        <w:t>S</w:t>
      </w:r>
      <w:r>
        <w:t>.</w:t>
      </w:r>
      <w:r w:rsidRPr="00046632">
        <w:t xml:space="preserve">, </w:t>
      </w:r>
      <w:r w:rsidRPr="00046632">
        <w:rPr>
          <w:i/>
          <w:iCs/>
        </w:rPr>
        <w:t>O pojęciu czynności konwencjonalnej i jej odmianach</w:t>
      </w:r>
      <w:r w:rsidRPr="00046632">
        <w:t>, „Ruch Prawniczy, Ekonomiczny i Socjologiczny” 2017, nr 1</w:t>
      </w:r>
      <w:r w:rsidR="00BF50B9">
        <w:t>.</w:t>
      </w:r>
    </w:p>
    <w:p w14:paraId="2437DC33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Cień K</w:t>
      </w:r>
      <w:r w:rsidRPr="00AA2859">
        <w:t xml:space="preserve">., </w:t>
      </w:r>
      <w:r w:rsidRPr="009546E8">
        <w:rPr>
          <w:i/>
          <w:iCs/>
        </w:rPr>
        <w:t>Pojęcie prawa podatkowego</w:t>
      </w:r>
      <w:r w:rsidRPr="00AA2859">
        <w:t xml:space="preserve">, [w:] </w:t>
      </w:r>
      <w:r w:rsidRPr="009546E8">
        <w:rPr>
          <w:i/>
          <w:iCs/>
        </w:rPr>
        <w:t>Prawo finansowe</w:t>
      </w:r>
      <w:r w:rsidRPr="00AA2859">
        <w:t xml:space="preserve">, red. </w:t>
      </w:r>
      <w:r>
        <w:t xml:space="preserve">A. </w:t>
      </w:r>
      <w:proofErr w:type="spellStart"/>
      <w:r>
        <w:t>Hanusz</w:t>
      </w:r>
      <w:proofErr w:type="spellEnd"/>
      <w:r w:rsidRPr="00AA2859">
        <w:t>, Warszawa 2022.</w:t>
      </w:r>
    </w:p>
    <w:p w14:paraId="0E074A86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Gorczyca D., Szczęśniak P., </w:t>
      </w:r>
      <w:r w:rsidRPr="009546E8">
        <w:rPr>
          <w:i/>
          <w:iCs/>
        </w:rPr>
        <w:t>Skutki podatkowe przymusowego umorzenia obligacji banku w restrukturyzacji</w:t>
      </w:r>
      <w:r w:rsidRPr="00AA2859">
        <w:t xml:space="preserve"> – glosa do wyroku Naczelnego Sądu Administracyjnego z 14.09.2022 r., II FSK 402/22, „Glosa” 2024, nr 3.</w:t>
      </w:r>
    </w:p>
    <w:p w14:paraId="48C2C0C9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proofErr w:type="spellStart"/>
      <w:r w:rsidRPr="00AA2859">
        <w:t>Hanusz</w:t>
      </w:r>
      <w:proofErr w:type="spellEnd"/>
      <w:r w:rsidRPr="00AA2859">
        <w:t xml:space="preserve"> A., </w:t>
      </w:r>
      <w:r w:rsidRPr="009546E8">
        <w:rPr>
          <w:i/>
          <w:iCs/>
        </w:rPr>
        <w:t>Zasada autonomii woli stron stosunków cywilnoprawnych w świetle prawa podatkowego</w:t>
      </w:r>
      <w:r w:rsidRPr="00AA2859">
        <w:t xml:space="preserve">, "Państwo i Prawo" 1998, nr 12. </w:t>
      </w:r>
    </w:p>
    <w:p w14:paraId="726AAB25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Kamiński M., </w:t>
      </w:r>
      <w:r w:rsidRPr="009546E8">
        <w:rPr>
          <w:i/>
          <w:iCs/>
        </w:rPr>
        <w:t>Normy merytoryczne wewnętrzne i zewnętrzne</w:t>
      </w:r>
      <w:r w:rsidRPr="00AA2859">
        <w:t xml:space="preserve">, [w:] </w:t>
      </w:r>
      <w:r w:rsidRPr="009546E8">
        <w:rPr>
          <w:i/>
          <w:iCs/>
        </w:rPr>
        <w:t xml:space="preserve">Mechanizm i granice weryfikacji </w:t>
      </w:r>
      <w:proofErr w:type="spellStart"/>
      <w:r w:rsidRPr="009546E8">
        <w:rPr>
          <w:i/>
          <w:iCs/>
        </w:rPr>
        <w:t>sądowoadministracyjnej</w:t>
      </w:r>
      <w:proofErr w:type="spellEnd"/>
      <w:r w:rsidRPr="009546E8">
        <w:rPr>
          <w:i/>
          <w:iCs/>
        </w:rPr>
        <w:t xml:space="preserve"> a normy prawa administracyjnego i ich konkretyzacja</w:t>
      </w:r>
      <w:r w:rsidRPr="00AA2859">
        <w:t xml:space="preserve">, </w:t>
      </w:r>
      <w:proofErr w:type="spellStart"/>
      <w:r w:rsidRPr="00AA2859">
        <w:t>Legalis</w:t>
      </w:r>
      <w:proofErr w:type="spellEnd"/>
      <w:r w:rsidRPr="00AA2859">
        <w:t xml:space="preserve"> 2016.</w:t>
      </w:r>
    </w:p>
    <w:p w14:paraId="01349944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Kosiarski M., </w:t>
      </w:r>
      <w:r w:rsidRPr="009546E8">
        <w:rPr>
          <w:i/>
          <w:iCs/>
        </w:rPr>
        <w:t>Zakres stosowania analogii legis w prawie administracyjnym, cz. 1</w:t>
      </w:r>
      <w:r w:rsidRPr="00AA2859">
        <w:t>, „Kwartalnik Prawa Publicznego” 2003 nr 1.</w:t>
      </w:r>
    </w:p>
    <w:p w14:paraId="59E86BB1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Machnikowski P., Komentarz do art. 60 k.c., [w:] </w:t>
      </w:r>
      <w:r w:rsidRPr="009546E8">
        <w:rPr>
          <w:i/>
          <w:iCs/>
        </w:rPr>
        <w:t>Kodeks cywilny. Komentarz</w:t>
      </w:r>
      <w:r w:rsidRPr="00AA2859">
        <w:t xml:space="preserve">, red. E. Gniewek, P. Machnikowski, </w:t>
      </w:r>
      <w:proofErr w:type="spellStart"/>
      <w:r w:rsidRPr="00AA2859">
        <w:t>Legalis</w:t>
      </w:r>
      <w:proofErr w:type="spellEnd"/>
      <w:r w:rsidRPr="00AA2859">
        <w:t xml:space="preserve"> 2022.</w:t>
      </w:r>
    </w:p>
    <w:p w14:paraId="447842AA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Mastalski R., </w:t>
      </w:r>
      <w:r w:rsidRPr="009546E8">
        <w:rPr>
          <w:i/>
          <w:iCs/>
        </w:rPr>
        <w:t>Wnioskowania prawnicze w procesie stosowania prawa podatkowego</w:t>
      </w:r>
      <w:r w:rsidRPr="00AA2859">
        <w:t>, „Przegląd Podatkowy” 2007 nr 12.</w:t>
      </w:r>
    </w:p>
    <w:p w14:paraId="54A23F22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Masternak M., </w:t>
      </w:r>
      <w:r w:rsidRPr="009546E8">
        <w:rPr>
          <w:i/>
          <w:iCs/>
        </w:rPr>
        <w:t>Zasada ogólna pisemności w postępowaniu podatkowym</w:t>
      </w:r>
      <w:r w:rsidRPr="00AA2859">
        <w:t>, „Kwartalnik Prawa Podatkowego” 2022, nr 3.</w:t>
      </w:r>
    </w:p>
    <w:p w14:paraId="6F5CF136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Morawski L., </w:t>
      </w:r>
      <w:r w:rsidRPr="009546E8">
        <w:rPr>
          <w:i/>
          <w:iCs/>
        </w:rPr>
        <w:t>Zasady wykładni prawa</w:t>
      </w:r>
      <w:r w:rsidRPr="00AA2859">
        <w:t>, Toruń 2010.</w:t>
      </w:r>
    </w:p>
    <w:p w14:paraId="5B9E9A1A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Nowacki J., </w:t>
      </w:r>
      <w:r w:rsidRPr="009546E8">
        <w:rPr>
          <w:i/>
          <w:iCs/>
        </w:rPr>
        <w:t>Analogia legis</w:t>
      </w:r>
      <w:r w:rsidRPr="00AA2859">
        <w:t>, Warszawa 1966.</w:t>
      </w:r>
    </w:p>
    <w:p w14:paraId="6E8AD074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Radzikowski K., </w:t>
      </w:r>
      <w:r w:rsidRPr="009546E8">
        <w:rPr>
          <w:i/>
          <w:iCs/>
        </w:rPr>
        <w:t>Analogia w prawie podatkowym</w:t>
      </w:r>
      <w:r w:rsidRPr="00AA2859">
        <w:t>, „Przegląd Podatkowy” 2007 nr 4.</w:t>
      </w:r>
    </w:p>
    <w:p w14:paraId="5E6BD964" w14:textId="5A55D546" w:rsidR="009546E8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proofErr w:type="spellStart"/>
      <w:r w:rsidRPr="00AA2859">
        <w:lastRenderedPageBreak/>
        <w:t>Słupczewski</w:t>
      </w:r>
      <w:proofErr w:type="spellEnd"/>
      <w:r w:rsidRPr="00AA2859">
        <w:t xml:space="preserve"> M., </w:t>
      </w:r>
      <w:r w:rsidRPr="009546E8">
        <w:rPr>
          <w:i/>
          <w:iCs/>
        </w:rPr>
        <w:t>Rozumowanie per analogiam w prawie podatkowym</w:t>
      </w:r>
      <w:r w:rsidRPr="00AA2859">
        <w:t>, Warszawa 2023.</w:t>
      </w:r>
    </w:p>
    <w:p w14:paraId="2203EB03" w14:textId="66B348E9" w:rsidR="00B529BF" w:rsidRPr="00AA2859" w:rsidRDefault="00B529BF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Sobolewski P., Komentarz do art. 60 k.c., [w:] </w:t>
      </w:r>
      <w:r w:rsidRPr="00557E0E">
        <w:rPr>
          <w:i/>
          <w:iCs/>
        </w:rPr>
        <w:t>Kodeks cywilny. Komentarz</w:t>
      </w:r>
      <w:r>
        <w:rPr>
          <w:i/>
          <w:iCs/>
        </w:rPr>
        <w:t xml:space="preserve">, </w:t>
      </w:r>
      <w:r w:rsidRPr="00B43E97">
        <w:t xml:space="preserve">red. K. </w:t>
      </w:r>
      <w:proofErr w:type="spellStart"/>
      <w:r w:rsidRPr="00B43E97">
        <w:t>Osajda</w:t>
      </w:r>
      <w:proofErr w:type="spellEnd"/>
      <w:r w:rsidRPr="00B43E97">
        <w:t>, W. Borysiak</w:t>
      </w:r>
      <w:r>
        <w:rPr>
          <w:i/>
          <w:iCs/>
        </w:rPr>
        <w:t xml:space="preserve">, </w:t>
      </w:r>
      <w:proofErr w:type="spellStart"/>
      <w:r w:rsidRPr="00020576">
        <w:t>Legalis</w:t>
      </w:r>
      <w:proofErr w:type="spellEnd"/>
      <w:r w:rsidRPr="00020576">
        <w:t xml:space="preserve"> 2024</w:t>
      </w:r>
      <w:r>
        <w:t>.</w:t>
      </w:r>
    </w:p>
    <w:p w14:paraId="6A7FB6DB" w14:textId="39D0BC64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Sobolewski P., Komentarz do art. 78 k.c., [w:] </w:t>
      </w:r>
      <w:r w:rsidRPr="009546E8">
        <w:rPr>
          <w:i/>
          <w:iCs/>
        </w:rPr>
        <w:t>Kodeks cywilny. Komentarz</w:t>
      </w:r>
      <w:r w:rsidRPr="00AA2859">
        <w:t>, red.</w:t>
      </w:r>
      <w:r w:rsidR="00B529BF">
        <w:t xml:space="preserve"> </w:t>
      </w:r>
      <w:r w:rsidRPr="00AA2859">
        <w:t xml:space="preserve">K. </w:t>
      </w:r>
      <w:proofErr w:type="spellStart"/>
      <w:r w:rsidRPr="00AA2859">
        <w:t>Osajda</w:t>
      </w:r>
      <w:proofErr w:type="spellEnd"/>
      <w:r w:rsidRPr="00AA2859">
        <w:t xml:space="preserve">, W. Borysiak, </w:t>
      </w:r>
      <w:proofErr w:type="spellStart"/>
      <w:r w:rsidRPr="00AA2859">
        <w:t>Legalis</w:t>
      </w:r>
      <w:proofErr w:type="spellEnd"/>
      <w:r w:rsidRPr="00AA2859">
        <w:t xml:space="preserve"> 2024. </w:t>
      </w:r>
    </w:p>
    <w:p w14:paraId="4096CE1E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Szczęśniak P., </w:t>
      </w:r>
      <w:r w:rsidRPr="009546E8">
        <w:rPr>
          <w:i/>
          <w:iCs/>
        </w:rPr>
        <w:t>Wykładnia pojęć prawa prywatnego w rekonstrukcji norm prawa podatkowego</w:t>
      </w:r>
      <w:r w:rsidRPr="00AA2859">
        <w:t xml:space="preserve">, [w:] </w:t>
      </w:r>
      <w:r w:rsidRPr="009546E8">
        <w:rPr>
          <w:i/>
          <w:iCs/>
        </w:rPr>
        <w:t>Zasada pewności w prawie podatkowym</w:t>
      </w:r>
      <w:r w:rsidRPr="00AA2859">
        <w:t>, red. A. Kaźmierczyk, A. Franczak, Warszawa 2018.</w:t>
      </w:r>
    </w:p>
    <w:p w14:paraId="746E3793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Szczygieł J., </w:t>
      </w:r>
      <w:r w:rsidRPr="009546E8">
        <w:rPr>
          <w:i/>
          <w:iCs/>
        </w:rPr>
        <w:t>Udokumentowanie dokonania przekazania środków pieniężnych przez darczyńcę na rzecz obdarowanego jako warunek zwolnienia od podatku od spadków i darowizn – glosa do uchwały składu siedmiu sędziów Naczelnego Sądu Administracyjnego z 20.03.2023 r., III FPS 3/22</w:t>
      </w:r>
      <w:r w:rsidRPr="00AA2859">
        <w:t>, „Glosa” 2024, nr 1.</w:t>
      </w:r>
    </w:p>
    <w:p w14:paraId="43570B12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proofErr w:type="spellStart"/>
      <w:r w:rsidRPr="00AA2859">
        <w:t>Widło</w:t>
      </w:r>
      <w:proofErr w:type="spellEnd"/>
      <w:r w:rsidRPr="00AA2859">
        <w:t xml:space="preserve"> J., </w:t>
      </w:r>
      <w:r w:rsidRPr="009546E8">
        <w:rPr>
          <w:i/>
          <w:iCs/>
        </w:rPr>
        <w:t>Dowód z dokumentu nieobejmującego podpisu wystawcy (w świetle nowelizacji Kodeksu cywilnego i Kodeksu postępowania cywilnego)</w:t>
      </w:r>
      <w:r w:rsidRPr="00AA2859">
        <w:t>, „Przegląd Sądowy” 2017 nr 9.</w:t>
      </w:r>
    </w:p>
    <w:p w14:paraId="7D50975D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Wojciechowski A., </w:t>
      </w:r>
      <w:r w:rsidRPr="009546E8">
        <w:rPr>
          <w:i/>
          <w:iCs/>
        </w:rPr>
        <w:t>Stosowanie prawa podatkowego przez sądy administracyjne w sytuacji interpretacyjnego pluralizmu instytucjonalnego i otwartej tekstowości prawa</w:t>
      </w:r>
      <w:r w:rsidRPr="00AA2859">
        <w:t xml:space="preserve">, „Państwo i Prawo” 2019, nr 12. </w:t>
      </w:r>
    </w:p>
    <w:p w14:paraId="17CBC539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Wolter A., Ignatowicz J., Stefaniuk K., </w:t>
      </w:r>
      <w:r w:rsidRPr="009546E8">
        <w:rPr>
          <w:i/>
          <w:iCs/>
        </w:rPr>
        <w:t>Prawo cywilne. Zarys części ogólnej</w:t>
      </w:r>
      <w:r w:rsidRPr="00AA2859">
        <w:t xml:space="preserve">, Warszawa 2020. </w:t>
      </w:r>
    </w:p>
    <w:p w14:paraId="7F59C7B0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Zieliński M., </w:t>
      </w:r>
      <w:r w:rsidRPr="009546E8">
        <w:rPr>
          <w:i/>
          <w:iCs/>
        </w:rPr>
        <w:t>Wykładania prawa. Zasady, reguły, wskazówki</w:t>
      </w:r>
      <w:r w:rsidRPr="00AA2859">
        <w:t>, Warszawa 2017.</w:t>
      </w:r>
    </w:p>
    <w:p w14:paraId="324E9CAE" w14:textId="24801321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Ziembiński </w:t>
      </w:r>
      <w:r>
        <w:t>Z.</w:t>
      </w:r>
      <w:r w:rsidRPr="00AA2859">
        <w:t xml:space="preserve">, </w:t>
      </w:r>
      <w:r w:rsidRPr="009546E8">
        <w:rPr>
          <w:i/>
          <w:iCs/>
        </w:rPr>
        <w:t>Problemy podstawowe prawoznawstwa</w:t>
      </w:r>
      <w:r w:rsidRPr="00AA2859">
        <w:t>, Warszawa 1980.</w:t>
      </w:r>
    </w:p>
    <w:p w14:paraId="0CDD8EDD" w14:textId="77777777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Ziembiński Z., </w:t>
      </w:r>
      <w:r w:rsidRPr="009546E8">
        <w:rPr>
          <w:i/>
          <w:iCs/>
        </w:rPr>
        <w:t>Kompetencja i norma kompetencyjna</w:t>
      </w:r>
      <w:r w:rsidRPr="00AA2859">
        <w:t>, „Ruch Prawniczy, Ekonomiczny i Socjologiczny” 1969, nr 4.</w:t>
      </w:r>
    </w:p>
    <w:p w14:paraId="2ABE6AFC" w14:textId="79A2758C" w:rsidR="009546E8" w:rsidRPr="00AA2859" w:rsidRDefault="009546E8" w:rsidP="00C9270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A2859">
        <w:t xml:space="preserve">Ziembiński Z., </w:t>
      </w:r>
      <w:r w:rsidRPr="009546E8">
        <w:rPr>
          <w:i/>
          <w:iCs/>
        </w:rPr>
        <w:t>Rodzaje norm postępowania</w:t>
      </w:r>
      <w:r w:rsidRPr="00AA2859">
        <w:t xml:space="preserve">, [w:] </w:t>
      </w:r>
      <w:r w:rsidRPr="009546E8">
        <w:rPr>
          <w:i/>
          <w:iCs/>
        </w:rPr>
        <w:t>Zarys teorii prawa</w:t>
      </w:r>
      <w:r w:rsidRPr="00AA2859">
        <w:t>, red. S. Wronkowska, Z. Ziembiński, Poznań 2001</w:t>
      </w:r>
      <w:r w:rsidR="00160847">
        <w:t>.</w:t>
      </w:r>
    </w:p>
    <w:sectPr w:rsidR="009546E8" w:rsidRPr="00AA2859" w:rsidSect="003E3F10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1FC6" w14:textId="77777777" w:rsidR="00097280" w:rsidRDefault="00097280" w:rsidP="008B77DE">
      <w:pPr>
        <w:spacing w:after="0" w:line="240" w:lineRule="auto"/>
      </w:pPr>
      <w:r>
        <w:separator/>
      </w:r>
    </w:p>
  </w:endnote>
  <w:endnote w:type="continuationSeparator" w:id="0">
    <w:p w14:paraId="32A449E7" w14:textId="77777777" w:rsidR="00097280" w:rsidRDefault="00097280" w:rsidP="008B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9780318"/>
      <w:docPartObj>
        <w:docPartGallery w:val="Page Numbers (Bottom of Page)"/>
        <w:docPartUnique/>
      </w:docPartObj>
    </w:sdtPr>
    <w:sdtContent>
      <w:p w14:paraId="453F02DB" w14:textId="2407A038" w:rsidR="00223C26" w:rsidRDefault="00223C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37493" w14:textId="77777777" w:rsidR="00223C26" w:rsidRDefault="00223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5B34" w14:textId="77777777" w:rsidR="00097280" w:rsidRDefault="00097280" w:rsidP="008B77DE">
      <w:pPr>
        <w:spacing w:after="0" w:line="240" w:lineRule="auto"/>
      </w:pPr>
      <w:r>
        <w:separator/>
      </w:r>
    </w:p>
  </w:footnote>
  <w:footnote w:type="continuationSeparator" w:id="0">
    <w:p w14:paraId="15054A82" w14:textId="77777777" w:rsidR="00097280" w:rsidRDefault="00097280" w:rsidP="008B77DE">
      <w:pPr>
        <w:spacing w:after="0" w:line="240" w:lineRule="auto"/>
      </w:pPr>
      <w:r>
        <w:continuationSeparator/>
      </w:r>
    </w:p>
  </w:footnote>
  <w:footnote w:id="1">
    <w:p w14:paraId="6E58BB52" w14:textId="5BBE5363" w:rsidR="002363EB" w:rsidRDefault="002363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3EB">
        <w:t>Dalej jako: NSA.</w:t>
      </w:r>
    </w:p>
  </w:footnote>
  <w:footnote w:id="2">
    <w:p w14:paraId="649DCC14" w14:textId="266109AE" w:rsidR="001F0B0A" w:rsidRPr="001F0B0A" w:rsidRDefault="004D12A3" w:rsidP="00610F6B">
      <w:pPr>
        <w:jc w:val="both"/>
        <w:rPr>
          <w:sz w:val="20"/>
        </w:rPr>
      </w:pPr>
      <w:r w:rsidRPr="001F0B0A">
        <w:rPr>
          <w:rStyle w:val="Odwoanieprzypisudolnego"/>
          <w:sz w:val="20"/>
        </w:rPr>
        <w:footnoteRef/>
      </w:r>
      <w:r w:rsidRPr="001F0B0A">
        <w:rPr>
          <w:sz w:val="20"/>
        </w:rPr>
        <w:t xml:space="preserve"> Ustawa z dnia </w:t>
      </w:r>
      <w:r w:rsidR="001F0B0A" w:rsidRPr="001F0B0A">
        <w:rPr>
          <w:sz w:val="20"/>
        </w:rPr>
        <w:t>26 lipca 1991 r.</w:t>
      </w:r>
      <w:r w:rsidR="001F0B0A">
        <w:rPr>
          <w:sz w:val="20"/>
        </w:rPr>
        <w:t xml:space="preserve"> o podatku dochodowym od osób fizycznych </w:t>
      </w:r>
      <w:r w:rsidR="00380C6C">
        <w:rPr>
          <w:sz w:val="20"/>
        </w:rPr>
        <w:t>(</w:t>
      </w:r>
      <w:r w:rsidR="00380C6C" w:rsidRPr="00380C6C">
        <w:rPr>
          <w:sz w:val="20"/>
        </w:rPr>
        <w:t>Dz.</w:t>
      </w:r>
      <w:r w:rsidR="00380C6C">
        <w:rPr>
          <w:sz w:val="20"/>
        </w:rPr>
        <w:t xml:space="preserve"> </w:t>
      </w:r>
      <w:r w:rsidR="00380C6C" w:rsidRPr="00380C6C">
        <w:rPr>
          <w:sz w:val="20"/>
        </w:rPr>
        <w:t>U. z 2024 r. poz. 226)</w:t>
      </w:r>
      <w:r w:rsidR="00380C6C">
        <w:rPr>
          <w:sz w:val="20"/>
        </w:rPr>
        <w:t xml:space="preserve">, dalej jako: </w:t>
      </w:r>
      <w:proofErr w:type="spellStart"/>
      <w:r w:rsidR="00380C6C">
        <w:rPr>
          <w:sz w:val="20"/>
        </w:rPr>
        <w:t>u.p.d.o.f</w:t>
      </w:r>
      <w:proofErr w:type="spellEnd"/>
      <w:r w:rsidR="00380C6C">
        <w:rPr>
          <w:sz w:val="20"/>
        </w:rPr>
        <w:t>.</w:t>
      </w:r>
    </w:p>
    <w:p w14:paraId="44F8567C" w14:textId="14AB1AA6" w:rsidR="004D12A3" w:rsidRDefault="004D12A3" w:rsidP="00610F6B">
      <w:pPr>
        <w:pStyle w:val="Tekstprzypisudolnego"/>
        <w:jc w:val="both"/>
      </w:pPr>
    </w:p>
  </w:footnote>
  <w:footnote w:id="3">
    <w:p w14:paraId="6C9173EB" w14:textId="6BC249CD" w:rsidR="009D363C" w:rsidRDefault="009D363C" w:rsidP="002107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E380E">
        <w:t xml:space="preserve">Zgodnie z art. 9a ust. 2 </w:t>
      </w:r>
      <w:proofErr w:type="spellStart"/>
      <w:r w:rsidR="006E380E">
        <w:t>u.p.d.o.f</w:t>
      </w:r>
      <w:proofErr w:type="spellEnd"/>
      <w:r w:rsidR="006E380E">
        <w:t xml:space="preserve">. oświadczenie </w:t>
      </w:r>
      <w:r w:rsidR="00C46F58">
        <w:t>powinno został złożone d</w:t>
      </w:r>
      <w:r w:rsidR="00C46F58" w:rsidRPr="00C46F58">
        <w:t>o 2</w:t>
      </w:r>
      <w:r w:rsidR="00C46F58">
        <w:t>0</w:t>
      </w:r>
      <w:r w:rsidR="00C46F58" w:rsidRPr="00C46F58">
        <w:t xml:space="preserve"> dnia miesiąca następującego po miesiącu, w którym został osiągnięty pierwszy przychód z tego tytułu w roku podatkowym</w:t>
      </w:r>
      <w:r w:rsidR="00AF40C3">
        <w:t xml:space="preserve"> </w:t>
      </w:r>
      <w:r w:rsidR="00C46F58" w:rsidRPr="00C46F58">
        <w:t>albo do końca roku podatkowego, jeżeli pierwszy taki przychód został osiągnięty w grudniu tego roku podatkowego.</w:t>
      </w:r>
    </w:p>
  </w:footnote>
  <w:footnote w:id="4">
    <w:p w14:paraId="3A6C9D17" w14:textId="7648B8E0" w:rsidR="00EE1D2E" w:rsidRPr="00335774" w:rsidRDefault="00EE1D2E" w:rsidP="0021075F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 w:rsidRPr="00335774">
        <w:rPr>
          <w:lang w:val="en-US"/>
        </w:rPr>
        <w:t xml:space="preserve"> </w:t>
      </w:r>
      <w:proofErr w:type="spellStart"/>
      <w:r w:rsidRPr="00335774">
        <w:rPr>
          <w:lang w:val="en-US"/>
        </w:rPr>
        <w:t>Zob</w:t>
      </w:r>
      <w:proofErr w:type="spellEnd"/>
      <w:r w:rsidRPr="00335774">
        <w:rPr>
          <w:lang w:val="en-US"/>
        </w:rPr>
        <w:t xml:space="preserve">. art. 9a </w:t>
      </w:r>
      <w:proofErr w:type="spellStart"/>
      <w:r w:rsidRPr="00335774">
        <w:rPr>
          <w:lang w:val="en-US"/>
        </w:rPr>
        <w:t>ust</w:t>
      </w:r>
      <w:proofErr w:type="spellEnd"/>
      <w:r w:rsidR="007278BE">
        <w:rPr>
          <w:lang w:val="en-US"/>
        </w:rPr>
        <w:t>.</w:t>
      </w:r>
      <w:r w:rsidRPr="00335774">
        <w:rPr>
          <w:lang w:val="en-US"/>
        </w:rPr>
        <w:t xml:space="preserve"> 2c </w:t>
      </w:r>
      <w:proofErr w:type="spellStart"/>
      <w:r w:rsidRPr="00335774">
        <w:rPr>
          <w:lang w:val="en-US"/>
        </w:rPr>
        <w:t>u.p.d.o.f</w:t>
      </w:r>
      <w:proofErr w:type="spellEnd"/>
      <w:r w:rsidRPr="00335774">
        <w:rPr>
          <w:lang w:val="en-US"/>
        </w:rPr>
        <w:t>.</w:t>
      </w:r>
    </w:p>
  </w:footnote>
  <w:footnote w:id="5">
    <w:p w14:paraId="2C4C9B00" w14:textId="567CCFDB" w:rsidR="00821668" w:rsidRDefault="00821668" w:rsidP="00D6109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61099">
        <w:t xml:space="preserve">Zob. Z. Ziembiński, </w:t>
      </w:r>
      <w:r w:rsidR="00D61099" w:rsidRPr="001C220C">
        <w:rPr>
          <w:i/>
          <w:iCs/>
        </w:rPr>
        <w:t>Rodzaje norm postępowania</w:t>
      </w:r>
      <w:r w:rsidR="00D61099">
        <w:t xml:space="preserve">, [w:] </w:t>
      </w:r>
      <w:r w:rsidR="00D61099" w:rsidRPr="00F46D1F">
        <w:rPr>
          <w:i/>
          <w:iCs/>
        </w:rPr>
        <w:t>Zarys teorii prawa</w:t>
      </w:r>
      <w:r w:rsidR="00D61099">
        <w:t>, red. S. Wronkowska, Z. Ziembiński, Poznań 2001, s. 3</w:t>
      </w:r>
      <w:r w:rsidR="00C34EF5">
        <w:t>5</w:t>
      </w:r>
      <w:r w:rsidR="00D61099">
        <w:t>-3</w:t>
      </w:r>
      <w:r w:rsidR="00C34EF5">
        <w:t>6</w:t>
      </w:r>
      <w:r w:rsidR="00D61099">
        <w:t>.</w:t>
      </w:r>
    </w:p>
  </w:footnote>
  <w:footnote w:id="6">
    <w:p w14:paraId="4E79DCCD" w14:textId="116EADFD" w:rsidR="006B27C5" w:rsidRDefault="006B27C5" w:rsidP="00F803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80314">
        <w:t xml:space="preserve">Tak słusznie M. Kamiński, </w:t>
      </w:r>
      <w:r w:rsidR="00F80314" w:rsidRPr="009778C5">
        <w:rPr>
          <w:i/>
          <w:iCs/>
        </w:rPr>
        <w:t>Normy merytoryczne wewnętrzne i zewnętrzne</w:t>
      </w:r>
      <w:r w:rsidR="00F80314">
        <w:t xml:space="preserve">, [w:] </w:t>
      </w:r>
      <w:r w:rsidR="00F80314" w:rsidRPr="009778C5">
        <w:rPr>
          <w:i/>
          <w:iCs/>
        </w:rPr>
        <w:t xml:space="preserve">Mechanizm i granice weryfikacji </w:t>
      </w:r>
      <w:proofErr w:type="spellStart"/>
      <w:r w:rsidR="00F80314" w:rsidRPr="009778C5">
        <w:rPr>
          <w:i/>
          <w:iCs/>
        </w:rPr>
        <w:t>sądowoadministracyjnej</w:t>
      </w:r>
      <w:proofErr w:type="spellEnd"/>
      <w:r w:rsidR="00F80314" w:rsidRPr="009778C5">
        <w:rPr>
          <w:i/>
          <w:iCs/>
        </w:rPr>
        <w:t xml:space="preserve"> a normy prawa administracyjnego i ich konkretyzacja</w:t>
      </w:r>
      <w:r w:rsidR="00F80314" w:rsidRPr="009778C5">
        <w:t xml:space="preserve">, </w:t>
      </w:r>
      <w:r w:rsidR="00B27CAC">
        <w:t>Warszawa</w:t>
      </w:r>
      <w:r w:rsidR="00F80314">
        <w:t xml:space="preserve"> </w:t>
      </w:r>
      <w:r w:rsidR="00F80314" w:rsidRPr="009778C5">
        <w:t>2016</w:t>
      </w:r>
      <w:r w:rsidR="00B27CAC">
        <w:t>, s. 12-13.</w:t>
      </w:r>
    </w:p>
  </w:footnote>
  <w:footnote w:id="7">
    <w:p w14:paraId="4DEB4369" w14:textId="51E61EFF" w:rsidR="00D74F0A" w:rsidRDefault="00D74F0A" w:rsidP="00275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Dalej jako: Dyrektor KIS.</w:t>
      </w:r>
    </w:p>
  </w:footnote>
  <w:footnote w:id="8">
    <w:p w14:paraId="7D14D2A0" w14:textId="48DA1337" w:rsidR="00E13739" w:rsidRDefault="00E13739" w:rsidP="00275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Dalej jako: WSA.</w:t>
      </w:r>
    </w:p>
  </w:footnote>
  <w:footnote w:id="9">
    <w:p w14:paraId="312803E4" w14:textId="54904093" w:rsidR="002756AD" w:rsidRDefault="002756AD" w:rsidP="00543C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56AD">
        <w:t xml:space="preserve">Ustawa z dnia 29 sierpnia 1997 r. – Ordynacja podatkowa (Dz. U. z 2023 r. poz. 2383), dalej jako </w:t>
      </w:r>
      <w:proofErr w:type="spellStart"/>
      <w:r w:rsidRPr="002756AD">
        <w:t>o.p</w:t>
      </w:r>
      <w:proofErr w:type="spellEnd"/>
      <w:r w:rsidRPr="002756AD">
        <w:t>.</w:t>
      </w:r>
    </w:p>
  </w:footnote>
  <w:footnote w:id="10">
    <w:p w14:paraId="4C3BAF07" w14:textId="1C9BEFA2" w:rsidR="000600A8" w:rsidRDefault="000600A8" w:rsidP="007A62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B03A3">
        <w:t>W piśmiennictwie panuje pogląd, zgodnie z którym</w:t>
      </w:r>
      <w:r w:rsidR="00872EA8">
        <w:t xml:space="preserve"> prawo podatkowe </w:t>
      </w:r>
      <w:r w:rsidR="00340E47">
        <w:t>nie jest w pełni autonomiczną gałęzią prawa.</w:t>
      </w:r>
      <w:r w:rsidR="00FE7120">
        <w:t xml:space="preserve"> </w:t>
      </w:r>
      <w:r w:rsidR="009535A7">
        <w:t xml:space="preserve">W wielu przypadkach prawidłowa rekonstrukcja podatkowej normy prawnej </w:t>
      </w:r>
      <w:r w:rsidR="00E204FD">
        <w:t>wymaga odwołania się do pojęć prawnych</w:t>
      </w:r>
      <w:r w:rsidR="00F56840">
        <w:t xml:space="preserve"> obowiązujących w innych</w:t>
      </w:r>
      <w:r w:rsidR="00E204FD">
        <w:t xml:space="preserve"> gałęzi</w:t>
      </w:r>
      <w:r w:rsidR="00F56840">
        <w:t>ach</w:t>
      </w:r>
      <w:r w:rsidR="00E204FD">
        <w:t xml:space="preserve"> prawa.</w:t>
      </w:r>
      <w:r w:rsidR="00F56840">
        <w:t xml:space="preserve"> </w:t>
      </w:r>
      <w:r w:rsidR="00E204FD">
        <w:t xml:space="preserve">Szczególny związek prawa podatkowego w </w:t>
      </w:r>
      <w:r w:rsidR="006A7489">
        <w:t>tym zakresie widoczny jest w odniesieniu do prawa cywilnego. Zob</w:t>
      </w:r>
      <w:r w:rsidR="00895C00">
        <w:t>.</w:t>
      </w:r>
      <w:r w:rsidR="006A7489">
        <w:t xml:space="preserve"> </w:t>
      </w:r>
      <w:r w:rsidR="00895C00" w:rsidRPr="00895C00">
        <w:t xml:space="preserve">A. </w:t>
      </w:r>
      <w:proofErr w:type="spellStart"/>
      <w:r w:rsidR="00895C00" w:rsidRPr="00895C00">
        <w:t>Hanusz</w:t>
      </w:r>
      <w:proofErr w:type="spellEnd"/>
      <w:r w:rsidR="00895C00" w:rsidRPr="00895C00">
        <w:t xml:space="preserve">, </w:t>
      </w:r>
      <w:r w:rsidR="00895C00" w:rsidRPr="00895C00">
        <w:rPr>
          <w:i/>
          <w:iCs/>
        </w:rPr>
        <w:t>Zasada autonomii woli stron stosunków cywilnoprawnych w świetle prawa podatkowego</w:t>
      </w:r>
      <w:r w:rsidR="00895C00" w:rsidRPr="00895C00">
        <w:t>, "Państwo i Prawo" 1998, nr 12</w:t>
      </w:r>
      <w:r w:rsidR="00895C00">
        <w:t>, s. 37-39, a także P. Szczęśniak</w:t>
      </w:r>
      <w:r w:rsidR="004D3A8F" w:rsidRPr="004D3A8F">
        <w:t xml:space="preserve">, </w:t>
      </w:r>
      <w:r w:rsidR="004D3A8F" w:rsidRPr="004D3A8F">
        <w:rPr>
          <w:i/>
          <w:iCs/>
        </w:rPr>
        <w:t>Wykładnia pojęć prawa prywatnego w rekonstrukcji norm prawa podatkowego</w:t>
      </w:r>
      <w:r w:rsidR="004D3A8F" w:rsidRPr="004D3A8F">
        <w:t xml:space="preserve">, [w:] </w:t>
      </w:r>
      <w:r w:rsidR="004D3A8F" w:rsidRPr="004D3A8F">
        <w:rPr>
          <w:i/>
          <w:iCs/>
        </w:rPr>
        <w:t>Zasada pewności w prawie podatkowym</w:t>
      </w:r>
      <w:r w:rsidR="004D3A8F" w:rsidRPr="004D3A8F">
        <w:t>, red. A. Kaźmierczyk, A. Franczak, Warszawa 2018,</w:t>
      </w:r>
      <w:r w:rsidR="00E3024B">
        <w:t xml:space="preserve"> s. 101-102.</w:t>
      </w:r>
    </w:p>
  </w:footnote>
  <w:footnote w:id="11">
    <w:p w14:paraId="675C4D67" w14:textId="14D188B8" w:rsidR="00D140D5" w:rsidRDefault="00D140D5" w:rsidP="007A62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57E0E">
        <w:t xml:space="preserve">Zob. więcej P. </w:t>
      </w:r>
      <w:r w:rsidR="00CD0F3F">
        <w:t>Machnikowski, Komentarz do art. 60 k.c., [w:]</w:t>
      </w:r>
      <w:r w:rsidR="00557E0E">
        <w:t xml:space="preserve"> </w:t>
      </w:r>
      <w:r w:rsidR="00557E0E" w:rsidRPr="00557E0E">
        <w:rPr>
          <w:i/>
          <w:iCs/>
        </w:rPr>
        <w:t>Kodeks cywilny. Komentarz</w:t>
      </w:r>
      <w:r w:rsidR="00557E0E">
        <w:rPr>
          <w:i/>
          <w:iCs/>
        </w:rPr>
        <w:t xml:space="preserve">, </w:t>
      </w:r>
      <w:r w:rsidR="00557E0E" w:rsidRPr="006E618B">
        <w:t xml:space="preserve">red. </w:t>
      </w:r>
      <w:r w:rsidR="006E618B" w:rsidRPr="006E618B">
        <w:t xml:space="preserve">E. Gniewek, P. Machnikowski, </w:t>
      </w:r>
      <w:proofErr w:type="spellStart"/>
      <w:r w:rsidR="006E618B" w:rsidRPr="006E618B">
        <w:t>Legalis</w:t>
      </w:r>
      <w:proofErr w:type="spellEnd"/>
      <w:r w:rsidR="006E618B" w:rsidRPr="006E618B">
        <w:t xml:space="preserve"> 2022, Nb. 1. </w:t>
      </w:r>
    </w:p>
  </w:footnote>
  <w:footnote w:id="12">
    <w:p w14:paraId="45A9083F" w14:textId="3CE63BAC" w:rsidR="0024173F" w:rsidRDefault="0024173F" w:rsidP="007A62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86E09">
        <w:t xml:space="preserve">Tak słusznie, </w:t>
      </w:r>
      <w:bookmarkStart w:id="2" w:name="_Hlk186734917"/>
      <w:r w:rsidR="00DC1C60">
        <w:t xml:space="preserve">A. Wolter, </w:t>
      </w:r>
      <w:r w:rsidR="00886E09">
        <w:t xml:space="preserve">J. </w:t>
      </w:r>
      <w:r w:rsidR="00886E09" w:rsidRPr="00886E09">
        <w:t xml:space="preserve">Ignatowicz, </w:t>
      </w:r>
      <w:r w:rsidR="00DC1C60">
        <w:t xml:space="preserve">K. </w:t>
      </w:r>
      <w:r w:rsidR="00DC1C60" w:rsidRPr="00886E09">
        <w:t>Stefani</w:t>
      </w:r>
      <w:r w:rsidR="00DC1C60">
        <w:t xml:space="preserve">uk, </w:t>
      </w:r>
      <w:r w:rsidR="00886E09" w:rsidRPr="00886E09">
        <w:rPr>
          <w:i/>
          <w:iCs/>
        </w:rPr>
        <w:t>Prawo cywilne. Zarys części ogólnej</w:t>
      </w:r>
      <w:r w:rsidR="00DC1C60">
        <w:t xml:space="preserve">, Warszawa 2020, s. </w:t>
      </w:r>
      <w:r w:rsidR="00F75C91">
        <w:t xml:space="preserve">42. </w:t>
      </w:r>
    </w:p>
    <w:bookmarkEnd w:id="2"/>
  </w:footnote>
  <w:footnote w:id="13">
    <w:p w14:paraId="0F82CC0E" w14:textId="4575AA12" w:rsidR="00227E24" w:rsidRDefault="00227E24" w:rsidP="0041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22A58">
        <w:t>S</w:t>
      </w:r>
      <w:r w:rsidR="00C23089">
        <w:t>kuteczność oświadczenia woli jest</w:t>
      </w:r>
      <w:r w:rsidR="00C94768">
        <w:t xml:space="preserve"> </w:t>
      </w:r>
      <w:r w:rsidR="00C23089">
        <w:t>wyłączona w syt</w:t>
      </w:r>
      <w:r w:rsidR="00E01633">
        <w:t xml:space="preserve">uacji, </w:t>
      </w:r>
      <w:r w:rsidR="009D4B9D">
        <w:t xml:space="preserve">gdy </w:t>
      </w:r>
      <w:r w:rsidR="00C94768">
        <w:t xml:space="preserve">oświadczenie </w:t>
      </w:r>
      <w:r w:rsidR="000F140C">
        <w:t>zostało złożone w wyn</w:t>
      </w:r>
      <w:r w:rsidR="009D4B9D">
        <w:t xml:space="preserve">iku oddziaływania przymusu fizycznego. Zob. </w:t>
      </w:r>
      <w:bookmarkStart w:id="3" w:name="_Hlk187074959"/>
      <w:r w:rsidR="004E3E7A">
        <w:t>A. Brzozowski, W. J. Kocot</w:t>
      </w:r>
      <w:r w:rsidR="00EC6B63">
        <w:t xml:space="preserve">, E. Skowrońska-Bocian, </w:t>
      </w:r>
      <w:r w:rsidR="00EC6B63" w:rsidRPr="0046474C">
        <w:rPr>
          <w:i/>
          <w:iCs/>
        </w:rPr>
        <w:t>Prawo cywilne. Część ogólna</w:t>
      </w:r>
      <w:r w:rsidR="00EC6B63">
        <w:t>, Warszawa 2010, s. 2</w:t>
      </w:r>
      <w:r w:rsidR="00A03468">
        <w:t xml:space="preserve">01. </w:t>
      </w:r>
    </w:p>
    <w:bookmarkEnd w:id="3"/>
  </w:footnote>
  <w:footnote w:id="14">
    <w:p w14:paraId="625DE517" w14:textId="234953F9" w:rsidR="00ED07BB" w:rsidRDefault="00ED07BB" w:rsidP="0041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Oświadczenie woli podlega </w:t>
      </w:r>
      <w:r w:rsidR="00C13B24">
        <w:t>procesowi wykładni i powinno być na tyle zrozumiałe</w:t>
      </w:r>
      <w:r w:rsidR="00770AD7">
        <w:t>, aby</w:t>
      </w:r>
      <w:r w:rsidR="00FD20B8">
        <w:t xml:space="preserve"> </w:t>
      </w:r>
      <w:r w:rsidR="004C1E62">
        <w:t>w tym procesie</w:t>
      </w:r>
      <w:r w:rsidR="00FD20B8">
        <w:t xml:space="preserve"> możliwe było ustalenie jego sensu, zob. </w:t>
      </w:r>
      <w:r w:rsidR="003109F9" w:rsidRPr="003109F9">
        <w:t xml:space="preserve">A. Wolter, J. Ignatowicz, K. Stefaniuk, </w:t>
      </w:r>
      <w:r w:rsidR="003109F9" w:rsidRPr="0046474C">
        <w:rPr>
          <w:i/>
          <w:iCs/>
        </w:rPr>
        <w:t>Prawo cywilne…</w:t>
      </w:r>
      <w:r w:rsidR="003109F9" w:rsidRPr="003109F9">
        <w:t xml:space="preserve">, s. </w:t>
      </w:r>
      <w:r w:rsidR="003109F9">
        <w:t>320</w:t>
      </w:r>
      <w:r w:rsidR="003109F9" w:rsidRPr="003109F9">
        <w:t>.</w:t>
      </w:r>
    </w:p>
  </w:footnote>
  <w:footnote w:id="15">
    <w:p w14:paraId="3416D355" w14:textId="60B12A02" w:rsidR="002B63E2" w:rsidRDefault="002B63E2" w:rsidP="00411BB9">
      <w:pPr>
        <w:pStyle w:val="Tekstprzypisudolnego"/>
        <w:jc w:val="both"/>
      </w:pPr>
      <w:bookmarkStart w:id="4" w:name="_Hlk187072153"/>
      <w:r>
        <w:rPr>
          <w:rStyle w:val="Odwoanieprzypisudolnego"/>
        </w:rPr>
        <w:footnoteRef/>
      </w:r>
      <w:r>
        <w:t xml:space="preserve"> </w:t>
      </w:r>
      <w:r w:rsidR="00C514CF">
        <w:t>L. Morawski</w:t>
      </w:r>
      <w:r w:rsidR="007173C4">
        <w:t xml:space="preserve">, </w:t>
      </w:r>
      <w:r w:rsidR="007173C4" w:rsidRPr="006A145F">
        <w:rPr>
          <w:i/>
          <w:iCs/>
        </w:rPr>
        <w:t>Zasady wykładni prawa</w:t>
      </w:r>
      <w:r w:rsidR="006A145F">
        <w:t>, Toruń 2010, s. 72-7</w:t>
      </w:r>
      <w:r w:rsidR="00EC24F4">
        <w:t>3</w:t>
      </w:r>
      <w:r w:rsidR="00B43E97">
        <w:t xml:space="preserve">, a także P. Sobolewski, Komentarz do art. 60 k.c., [w:] </w:t>
      </w:r>
      <w:r w:rsidR="00B43E97" w:rsidRPr="00557E0E">
        <w:rPr>
          <w:i/>
          <w:iCs/>
        </w:rPr>
        <w:t>Kodeks cywilny. Komentarz</w:t>
      </w:r>
      <w:r w:rsidR="00B43E97">
        <w:rPr>
          <w:i/>
          <w:iCs/>
        </w:rPr>
        <w:t xml:space="preserve">, </w:t>
      </w:r>
      <w:r w:rsidR="00B43E97" w:rsidRPr="00B43E97">
        <w:t xml:space="preserve">red. K. </w:t>
      </w:r>
      <w:proofErr w:type="spellStart"/>
      <w:r w:rsidR="00B43E97" w:rsidRPr="00B43E97">
        <w:t>Osajda</w:t>
      </w:r>
      <w:proofErr w:type="spellEnd"/>
      <w:r w:rsidR="00B43E97" w:rsidRPr="00B43E97">
        <w:t>, W. Borysiak</w:t>
      </w:r>
      <w:r w:rsidR="00B43E97">
        <w:rPr>
          <w:i/>
          <w:iCs/>
        </w:rPr>
        <w:t xml:space="preserve">, </w:t>
      </w:r>
      <w:proofErr w:type="spellStart"/>
      <w:r w:rsidR="00B43E97" w:rsidRPr="00020576">
        <w:t>Legalis</w:t>
      </w:r>
      <w:proofErr w:type="spellEnd"/>
      <w:r w:rsidR="00B43E97" w:rsidRPr="00020576">
        <w:t xml:space="preserve"> 2024,</w:t>
      </w:r>
      <w:r w:rsidR="00B43E97">
        <w:t xml:space="preserve"> </w:t>
      </w:r>
      <w:proofErr w:type="spellStart"/>
      <w:r w:rsidR="00B43E97">
        <w:t>Nt</w:t>
      </w:r>
      <w:proofErr w:type="spellEnd"/>
      <w:r w:rsidR="00B43E97">
        <w:t xml:space="preserve"> 4.</w:t>
      </w:r>
    </w:p>
    <w:bookmarkEnd w:id="4"/>
  </w:footnote>
  <w:footnote w:id="16">
    <w:p w14:paraId="2C17786E" w14:textId="5640EE41" w:rsidR="00641034" w:rsidRDefault="00641034" w:rsidP="0041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Zob. więcej</w:t>
      </w:r>
      <w:r w:rsidR="00AF3B6C">
        <w:t xml:space="preserve">. M. Zieliński, </w:t>
      </w:r>
      <w:r w:rsidR="00AF3B6C" w:rsidRPr="007C5242">
        <w:rPr>
          <w:i/>
          <w:iCs/>
        </w:rPr>
        <w:t>Wykładania prawa. Zasady, reguły, wskazówki</w:t>
      </w:r>
      <w:r w:rsidR="00D942E7">
        <w:t>, Warszawa 2017, s. 130-132.</w:t>
      </w:r>
    </w:p>
  </w:footnote>
  <w:footnote w:id="17">
    <w:p w14:paraId="567824CB" w14:textId="1B42B065" w:rsidR="009D374F" w:rsidRDefault="009D374F" w:rsidP="00DA09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D374F">
        <w:t xml:space="preserve">L. Morawski, </w:t>
      </w:r>
      <w:r w:rsidRPr="0040167B">
        <w:rPr>
          <w:i/>
          <w:iCs/>
        </w:rPr>
        <w:t>Zasady…</w:t>
      </w:r>
      <w:r w:rsidRPr="009D374F">
        <w:t>, Toruń 2010, s. 7</w:t>
      </w:r>
      <w:r w:rsidR="00284B65">
        <w:t>4</w:t>
      </w:r>
      <w:r w:rsidRPr="009D374F">
        <w:t>-7</w:t>
      </w:r>
      <w:r w:rsidR="00284B65">
        <w:t>6.</w:t>
      </w:r>
    </w:p>
  </w:footnote>
  <w:footnote w:id="18">
    <w:p w14:paraId="2D2994EF" w14:textId="6720E9BE" w:rsidR="00333B33" w:rsidRDefault="00333B33" w:rsidP="00DA09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81A9D" w:rsidRPr="00A81A9D">
        <w:t>B.</w:t>
      </w:r>
      <w:r w:rsidR="00A81A9D">
        <w:t xml:space="preserve"> </w:t>
      </w:r>
      <w:r w:rsidR="00A81A9D" w:rsidRPr="00A81A9D">
        <w:t xml:space="preserve">Wojciechowski, </w:t>
      </w:r>
      <w:r w:rsidR="00A81A9D" w:rsidRPr="0040167B">
        <w:rPr>
          <w:i/>
          <w:iCs/>
        </w:rPr>
        <w:t>Stosowanie prawa podatkowego przez sądy administracyjne w sytuacji interpretacyjnego pluralizmu instytucjonalnego i otwartej tekstowości prawa</w:t>
      </w:r>
      <w:r w:rsidR="00A81A9D" w:rsidRPr="00A81A9D">
        <w:t xml:space="preserve">, </w:t>
      </w:r>
      <w:r w:rsidR="00A81A9D">
        <w:t>„Państwo i Prawo”</w:t>
      </w:r>
      <w:r w:rsidR="00A81A9D" w:rsidRPr="00A81A9D">
        <w:t xml:space="preserve"> 2019, nr 12, s. 5</w:t>
      </w:r>
      <w:r w:rsidR="00A81A9D">
        <w:t>9-60</w:t>
      </w:r>
      <w:r w:rsidR="0034191F">
        <w:t xml:space="preserve"> oraz s.</w:t>
      </w:r>
      <w:r w:rsidR="00467B5B">
        <w:t xml:space="preserve"> 68. </w:t>
      </w:r>
    </w:p>
  </w:footnote>
  <w:footnote w:id="19">
    <w:p w14:paraId="325FE61F" w14:textId="4F6CF67D" w:rsidR="00D50986" w:rsidRDefault="00D50986" w:rsidP="000726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05E20" w:rsidRPr="00362164">
        <w:t>P Sobolewsk</w:t>
      </w:r>
      <w:r w:rsidRPr="00362164">
        <w:t xml:space="preserve">i, Komentarz do art. 78 k.c., </w:t>
      </w:r>
      <w:r w:rsidR="00A4735F" w:rsidRPr="00362164">
        <w:t xml:space="preserve">[w:] </w:t>
      </w:r>
      <w:r w:rsidR="00A4735F" w:rsidRPr="00362164">
        <w:rPr>
          <w:i/>
          <w:iCs/>
        </w:rPr>
        <w:t>Kodeks cywilny. Komentarz</w:t>
      </w:r>
      <w:r w:rsidR="00A4735F" w:rsidRPr="00362164">
        <w:t xml:space="preserve">, red. </w:t>
      </w:r>
      <w:r w:rsidR="00472DB1">
        <w:t xml:space="preserve">serii </w:t>
      </w:r>
      <w:r w:rsidR="00317A29" w:rsidRPr="00362164">
        <w:t xml:space="preserve">K. </w:t>
      </w:r>
      <w:proofErr w:type="spellStart"/>
      <w:r w:rsidR="00317A29" w:rsidRPr="00362164">
        <w:t>Osajda</w:t>
      </w:r>
      <w:proofErr w:type="spellEnd"/>
      <w:r w:rsidR="00A4735F" w:rsidRPr="00362164">
        <w:t>,</w:t>
      </w:r>
      <w:r w:rsidR="00472DB1">
        <w:t xml:space="preserve"> red.</w:t>
      </w:r>
      <w:r w:rsidR="000A4C78">
        <w:t xml:space="preserve"> tomu W. Borysiak,</w:t>
      </w:r>
      <w:r w:rsidR="00A4735F" w:rsidRPr="00362164">
        <w:t xml:space="preserve"> </w:t>
      </w:r>
      <w:proofErr w:type="spellStart"/>
      <w:r w:rsidR="00A4735F" w:rsidRPr="00362164">
        <w:t>Legalis</w:t>
      </w:r>
      <w:proofErr w:type="spellEnd"/>
      <w:r w:rsidR="00A4735F" w:rsidRPr="00362164">
        <w:t xml:space="preserve"> 2024, </w:t>
      </w:r>
      <w:proofErr w:type="spellStart"/>
      <w:r w:rsidR="007A6558">
        <w:t>Nt</w:t>
      </w:r>
      <w:proofErr w:type="spellEnd"/>
      <w:r w:rsidR="007A6558">
        <w:t xml:space="preserve"> </w:t>
      </w:r>
      <w:r w:rsidR="00362164">
        <w:t>4</w:t>
      </w:r>
      <w:r w:rsidR="000C6F6E">
        <w:t xml:space="preserve">, a także </w:t>
      </w:r>
      <w:r w:rsidR="0002026F">
        <w:t xml:space="preserve">A. Brzozowski, W. J. Kocot, E. Skowrońska-Bocian, </w:t>
      </w:r>
      <w:r w:rsidR="0002026F" w:rsidRPr="0040167B">
        <w:rPr>
          <w:i/>
          <w:iCs/>
        </w:rPr>
        <w:t>Prawo cywilne…</w:t>
      </w:r>
      <w:r w:rsidR="0002026F">
        <w:t>, Warszawa 2010, s. 2</w:t>
      </w:r>
      <w:r w:rsidR="00EA26DA">
        <w:t>13-214.</w:t>
      </w:r>
      <w:r w:rsidR="0002026F">
        <w:t xml:space="preserve"> </w:t>
      </w:r>
    </w:p>
  </w:footnote>
  <w:footnote w:id="20">
    <w:p w14:paraId="7AE28310" w14:textId="4594A843" w:rsidR="004E5C84" w:rsidRDefault="004E5C84" w:rsidP="000726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06607" w:rsidRPr="00F06607">
        <w:t>Rządowy projekt ustawy o doręczeniach elektronicznych</w:t>
      </w:r>
      <w:r w:rsidR="00F06607">
        <w:t>, druk 239</w:t>
      </w:r>
      <w:r w:rsidR="0024159B">
        <w:t>, s. 95.</w:t>
      </w:r>
    </w:p>
  </w:footnote>
  <w:footnote w:id="21">
    <w:p w14:paraId="3A29BBA7" w14:textId="1E5C52B3" w:rsidR="00B01AA5" w:rsidRDefault="00B01AA5" w:rsidP="000726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4290E">
        <w:t xml:space="preserve">Ustawa o doręczeniach elektronicznych </w:t>
      </w:r>
      <w:r w:rsidR="00B4290E" w:rsidRPr="00B4290E">
        <w:t>z dnia 18 listopada 2020 r.</w:t>
      </w:r>
      <w:r w:rsidR="00420A90">
        <w:t xml:space="preserve"> (</w:t>
      </w:r>
      <w:r w:rsidR="00420A90" w:rsidRPr="00420A90">
        <w:t>Dz</w:t>
      </w:r>
      <w:r w:rsidR="00420A90">
        <w:t xml:space="preserve">. </w:t>
      </w:r>
      <w:r w:rsidR="00420A90" w:rsidRPr="00420A90">
        <w:t>U. z 2024 r. poz. 1045</w:t>
      </w:r>
      <w:r w:rsidR="00420A90">
        <w:t>).</w:t>
      </w:r>
    </w:p>
  </w:footnote>
  <w:footnote w:id="22">
    <w:p w14:paraId="20D7E426" w14:textId="3F572D35" w:rsidR="002241F9" w:rsidRDefault="002241F9">
      <w:pPr>
        <w:pStyle w:val="Tekstprzypisudolnego"/>
      </w:pPr>
      <w:r>
        <w:rPr>
          <w:rStyle w:val="Odwoanieprzypisudolnego"/>
        </w:rPr>
        <w:footnoteRef/>
      </w:r>
      <w:r>
        <w:t xml:space="preserve"> Zob. art. 126 </w:t>
      </w:r>
      <w:proofErr w:type="spellStart"/>
      <w:r>
        <w:t>o.p</w:t>
      </w:r>
      <w:proofErr w:type="spellEnd"/>
      <w:r>
        <w:t>.</w:t>
      </w:r>
    </w:p>
  </w:footnote>
  <w:footnote w:id="23">
    <w:p w14:paraId="01312F73" w14:textId="5F36AD0C" w:rsidR="00611288" w:rsidRPr="00D07FE8" w:rsidRDefault="00611288" w:rsidP="000726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Zob. więcej</w:t>
      </w:r>
      <w:r w:rsidR="00E424C5">
        <w:t xml:space="preserve"> M. Masternak, </w:t>
      </w:r>
      <w:r w:rsidR="00E424C5" w:rsidRPr="00E424C5">
        <w:rPr>
          <w:i/>
          <w:iCs/>
        </w:rPr>
        <w:t>Zasada ogólna pisemności w postępowaniu podatkowym</w:t>
      </w:r>
      <w:r w:rsidR="00D07FE8">
        <w:rPr>
          <w:i/>
          <w:iCs/>
        </w:rPr>
        <w:t>,</w:t>
      </w:r>
      <w:r w:rsidR="00D07FE8" w:rsidRPr="00D07FE8">
        <w:t xml:space="preserve"> „Kwartalnik </w:t>
      </w:r>
      <w:r w:rsidR="00192028">
        <w:t>P</w:t>
      </w:r>
      <w:r w:rsidR="00D07FE8" w:rsidRPr="00D07FE8">
        <w:t xml:space="preserve">rawa </w:t>
      </w:r>
      <w:r w:rsidR="00192028">
        <w:t>P</w:t>
      </w:r>
      <w:r w:rsidR="00D07FE8" w:rsidRPr="00D07FE8">
        <w:t xml:space="preserve">odatkowego” </w:t>
      </w:r>
      <w:r w:rsidR="00192028">
        <w:t xml:space="preserve">2022, nr 3, s. </w:t>
      </w:r>
      <w:r w:rsidR="00051600">
        <w:t>166-168.</w:t>
      </w:r>
    </w:p>
  </w:footnote>
  <w:footnote w:id="24">
    <w:p w14:paraId="520E80E5" w14:textId="699C44C8" w:rsidR="00A11576" w:rsidRDefault="00A11576" w:rsidP="00CC7D3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Tak słusznie, </w:t>
      </w:r>
      <w:r w:rsidR="00383DD1">
        <w:t xml:space="preserve">J. </w:t>
      </w:r>
      <w:proofErr w:type="spellStart"/>
      <w:r w:rsidR="00383DD1">
        <w:t>Widło</w:t>
      </w:r>
      <w:proofErr w:type="spellEnd"/>
      <w:r w:rsidR="00383DD1">
        <w:t xml:space="preserve">, </w:t>
      </w:r>
      <w:r w:rsidR="00383DD1" w:rsidRPr="00E60B0D">
        <w:rPr>
          <w:i/>
          <w:iCs/>
        </w:rPr>
        <w:t>Dowód z dokumentu nieobejmującego podpisu wystawcy (w świetle</w:t>
      </w:r>
      <w:r w:rsidR="00E60B0D" w:rsidRPr="00E60B0D">
        <w:rPr>
          <w:i/>
          <w:iCs/>
        </w:rPr>
        <w:t xml:space="preserve"> </w:t>
      </w:r>
      <w:r w:rsidR="00383DD1" w:rsidRPr="00E60B0D">
        <w:rPr>
          <w:i/>
          <w:iCs/>
        </w:rPr>
        <w:t>nowelizacji Kodeksu cywilnego i Kodeksu postępowania cywilnego)</w:t>
      </w:r>
      <w:r w:rsidR="00E60B0D">
        <w:t>, „</w:t>
      </w:r>
      <w:r w:rsidR="00E60B0D" w:rsidRPr="00E60B0D">
        <w:t>Przegląd Sądowy</w:t>
      </w:r>
      <w:r w:rsidR="00E60B0D">
        <w:t>”</w:t>
      </w:r>
      <w:r w:rsidR="00E60B0D" w:rsidRPr="00E60B0D">
        <w:t xml:space="preserve"> 2017</w:t>
      </w:r>
      <w:r w:rsidR="00E60B0D">
        <w:t xml:space="preserve"> nr 9, s. 88</w:t>
      </w:r>
      <w:r w:rsidR="00AD1BAE">
        <w:t>.</w:t>
      </w:r>
    </w:p>
  </w:footnote>
  <w:footnote w:id="25">
    <w:p w14:paraId="280503BE" w14:textId="11698A0C" w:rsidR="008A0E36" w:rsidRDefault="008A0E36" w:rsidP="00CC7D3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Zob.</w:t>
      </w:r>
      <w:r w:rsidR="00CC7D3C">
        <w:t xml:space="preserve"> </w:t>
      </w:r>
      <w:r w:rsidR="00033F6A">
        <w:t xml:space="preserve">J. Byrski, </w:t>
      </w:r>
      <w:r w:rsidR="001E1F71">
        <w:t xml:space="preserve">Komentarz do art. 7 pr. bank, [w:] </w:t>
      </w:r>
      <w:r w:rsidR="001E1F71" w:rsidRPr="001E1F71">
        <w:rPr>
          <w:i/>
          <w:iCs/>
        </w:rPr>
        <w:t>Prawo bankowe. Komentarz</w:t>
      </w:r>
      <w:r w:rsidR="001E1F71">
        <w:t>,</w:t>
      </w:r>
      <w:r w:rsidR="00CE0B54">
        <w:t xml:space="preserve"> red.</w:t>
      </w:r>
      <w:r w:rsidR="00CF21FC">
        <w:t xml:space="preserve"> K. </w:t>
      </w:r>
      <w:proofErr w:type="spellStart"/>
      <w:r w:rsidR="00CF21FC">
        <w:t>Osajda</w:t>
      </w:r>
      <w:proofErr w:type="spellEnd"/>
      <w:r w:rsidR="00CF21FC">
        <w:t>,</w:t>
      </w:r>
      <w:r w:rsidR="00525D12">
        <w:t xml:space="preserve"> </w:t>
      </w:r>
      <w:r w:rsidR="00CE0B54">
        <w:t xml:space="preserve">J. </w:t>
      </w:r>
      <w:proofErr w:type="spellStart"/>
      <w:r w:rsidR="00CE0B54">
        <w:t>Dybiński</w:t>
      </w:r>
      <w:proofErr w:type="spellEnd"/>
      <w:r w:rsidR="00CE0B54">
        <w:t xml:space="preserve">, </w:t>
      </w:r>
      <w:proofErr w:type="spellStart"/>
      <w:r w:rsidR="00CE0B54">
        <w:t>Legalis</w:t>
      </w:r>
      <w:proofErr w:type="spellEnd"/>
      <w:r w:rsidR="00CE0B54">
        <w:t xml:space="preserve"> 2024, </w:t>
      </w:r>
      <w:r w:rsidR="00B25352">
        <w:t>pkt</w:t>
      </w:r>
      <w:r>
        <w:t xml:space="preserve"> </w:t>
      </w:r>
      <w:r w:rsidR="00141CEE">
        <w:t>2 i 4</w:t>
      </w:r>
      <w:r w:rsidR="00B25352">
        <w:t xml:space="preserve">, a także </w:t>
      </w:r>
      <w:r w:rsidR="00141CEE">
        <w:t xml:space="preserve">B. </w:t>
      </w:r>
      <w:r w:rsidR="004E61E3" w:rsidRPr="004E61E3">
        <w:t>Bajor</w:t>
      </w:r>
      <w:r w:rsidR="004E61E3">
        <w:t xml:space="preserve">, Komentarz do art. </w:t>
      </w:r>
      <w:r w:rsidR="00CC7D3C">
        <w:t>7 pr. bank.,</w:t>
      </w:r>
      <w:r w:rsidR="004E61E3" w:rsidRPr="004E61E3">
        <w:t xml:space="preserve"> [w:] </w:t>
      </w:r>
      <w:r w:rsidR="00CC7D3C" w:rsidRPr="00CC7D3C">
        <w:rPr>
          <w:i/>
          <w:iCs/>
        </w:rPr>
        <w:t>Prawo bankowe. Komentarz do przepisów cywilnoprawnych</w:t>
      </w:r>
      <w:r w:rsidR="00CC7D3C">
        <w:t xml:space="preserve">, red. </w:t>
      </w:r>
      <w:r w:rsidR="004E61E3" w:rsidRPr="004E61E3">
        <w:t xml:space="preserve">L. </w:t>
      </w:r>
      <w:proofErr w:type="spellStart"/>
      <w:r w:rsidR="004E61E3" w:rsidRPr="004E61E3">
        <w:t>Kociucki</w:t>
      </w:r>
      <w:proofErr w:type="spellEnd"/>
      <w:r w:rsidR="004E61E3" w:rsidRPr="004E61E3">
        <w:t xml:space="preserve">, J. M. Kondek, K. Królikowska, B. Bajor, </w:t>
      </w:r>
      <w:r w:rsidR="00CC7D3C">
        <w:t>W</w:t>
      </w:r>
      <w:r w:rsidR="004E61E3" w:rsidRPr="004E61E3">
        <w:t>arszawa 2020,</w:t>
      </w:r>
      <w:r w:rsidR="00CC7D3C">
        <w:t xml:space="preserve"> s. 148-149.</w:t>
      </w:r>
    </w:p>
  </w:footnote>
  <w:footnote w:id="26">
    <w:p w14:paraId="2517831B" w14:textId="361AB81B" w:rsidR="009F32CD" w:rsidRDefault="009F32CD" w:rsidP="009F32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32CD">
        <w:t xml:space="preserve"> Wyrok SA w Gdańsku z dnia 29 marca 2021 r., V </w:t>
      </w:r>
      <w:proofErr w:type="spellStart"/>
      <w:r w:rsidRPr="009F32CD">
        <w:t>ACa</w:t>
      </w:r>
      <w:proofErr w:type="spellEnd"/>
      <w:r w:rsidRPr="009F32CD">
        <w:t xml:space="preserve"> 652/20, </w:t>
      </w:r>
      <w:proofErr w:type="spellStart"/>
      <w:r w:rsidRPr="009F32CD">
        <w:t>Legalis</w:t>
      </w:r>
      <w:proofErr w:type="spellEnd"/>
      <w:r w:rsidRPr="009F32CD">
        <w:t xml:space="preserve"> nr 2650844.</w:t>
      </w:r>
    </w:p>
  </w:footnote>
  <w:footnote w:id="27">
    <w:p w14:paraId="48C5B19B" w14:textId="1F04BD85" w:rsidR="00DF1001" w:rsidRDefault="0082238D" w:rsidP="00DF1001">
      <w:pPr>
        <w:pStyle w:val="Tekstprzypisudolnego"/>
        <w:jc w:val="both"/>
      </w:pPr>
      <w:r>
        <w:rPr>
          <w:rStyle w:val="Odwoanieprzypisudolnego"/>
        </w:rPr>
        <w:footnoteRef/>
      </w:r>
      <w:r w:rsidR="003457C6">
        <w:t xml:space="preserve"> </w:t>
      </w:r>
      <w:r w:rsidR="009E444D">
        <w:t xml:space="preserve">Z. Ziembiński, </w:t>
      </w:r>
      <w:r w:rsidR="00FB683F" w:rsidRPr="00FB683F">
        <w:rPr>
          <w:i/>
          <w:iCs/>
        </w:rPr>
        <w:t>Normy postępowania</w:t>
      </w:r>
      <w:r w:rsidR="00FB683F">
        <w:t xml:space="preserve"> [w:] </w:t>
      </w:r>
      <w:r w:rsidR="00FB683F" w:rsidRPr="00FB683F">
        <w:rPr>
          <w:i/>
          <w:iCs/>
        </w:rPr>
        <w:t>Zarys</w:t>
      </w:r>
      <w:r w:rsidR="004077D9">
        <w:rPr>
          <w:i/>
          <w:iCs/>
        </w:rPr>
        <w:t>…</w:t>
      </w:r>
      <w:r w:rsidR="00FB683F">
        <w:t xml:space="preserve">, red. S. Wronkowska, Z. Ziembiński, </w:t>
      </w:r>
      <w:r w:rsidR="003457C6">
        <w:t>s. 36</w:t>
      </w:r>
      <w:r w:rsidR="00B34581">
        <w:t xml:space="preserve">, a także S. </w:t>
      </w:r>
      <w:proofErr w:type="spellStart"/>
      <w:r w:rsidR="00B34581">
        <w:t>Czepita</w:t>
      </w:r>
      <w:proofErr w:type="spellEnd"/>
      <w:r w:rsidR="00B34581">
        <w:t xml:space="preserve">, </w:t>
      </w:r>
      <w:r w:rsidR="00B34581" w:rsidRPr="003C604D">
        <w:rPr>
          <w:i/>
          <w:iCs/>
        </w:rPr>
        <w:t>O pojęciu czynn</w:t>
      </w:r>
      <w:r w:rsidR="003C604D" w:rsidRPr="003C604D">
        <w:rPr>
          <w:i/>
          <w:iCs/>
        </w:rPr>
        <w:t>ości konwencjonalnej</w:t>
      </w:r>
      <w:r w:rsidR="003C604D">
        <w:rPr>
          <w:i/>
          <w:iCs/>
        </w:rPr>
        <w:t>…</w:t>
      </w:r>
      <w:r w:rsidR="00DF1001">
        <w:rPr>
          <w:i/>
          <w:iCs/>
        </w:rPr>
        <w:t>, „</w:t>
      </w:r>
      <w:r w:rsidR="00DF1001" w:rsidRPr="006B5281">
        <w:t>Ruch Prawniczy, Ekonomiczny i Socjologiczny</w:t>
      </w:r>
      <w:r w:rsidR="00DF1001">
        <w:t>”</w:t>
      </w:r>
      <w:r w:rsidR="00DF1001" w:rsidRPr="00DD3B5E">
        <w:t xml:space="preserve"> 2017, </w:t>
      </w:r>
      <w:r w:rsidR="00DF1001">
        <w:t>n</w:t>
      </w:r>
      <w:r w:rsidR="00DF1001" w:rsidRPr="00DD3B5E">
        <w:t>r 1, s. 9</w:t>
      </w:r>
      <w:r w:rsidR="00DF1001">
        <w:t xml:space="preserve">5. </w:t>
      </w:r>
    </w:p>
    <w:p w14:paraId="19F61E3A" w14:textId="633B6C63" w:rsidR="0082238D" w:rsidRDefault="0082238D" w:rsidP="00FB683F">
      <w:pPr>
        <w:pStyle w:val="Tekstprzypisudolnego"/>
        <w:jc w:val="both"/>
      </w:pPr>
    </w:p>
  </w:footnote>
  <w:footnote w:id="28">
    <w:p w14:paraId="339524F3" w14:textId="28B8E282" w:rsidR="00EB69C2" w:rsidRDefault="00EB69C2" w:rsidP="00D204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96EC4">
        <w:t>Por.</w:t>
      </w:r>
      <w:r w:rsidR="009778C5">
        <w:t xml:space="preserve"> </w:t>
      </w:r>
      <w:r w:rsidR="00132120">
        <w:t xml:space="preserve">Z. Ziembiński, </w:t>
      </w:r>
      <w:r w:rsidR="001C220C" w:rsidRPr="001C220C">
        <w:rPr>
          <w:i/>
          <w:iCs/>
        </w:rPr>
        <w:t>Rodzaje norm postępowania</w:t>
      </w:r>
      <w:r w:rsidR="001C220C">
        <w:t>, [w:]</w:t>
      </w:r>
      <w:r w:rsidR="00F46D1F">
        <w:t xml:space="preserve"> </w:t>
      </w:r>
      <w:r w:rsidR="00F46D1F" w:rsidRPr="00F46D1F">
        <w:rPr>
          <w:i/>
          <w:iCs/>
        </w:rPr>
        <w:t>Zarys teorii prawa</w:t>
      </w:r>
      <w:r w:rsidR="00F46D1F">
        <w:t xml:space="preserve">, </w:t>
      </w:r>
      <w:r w:rsidR="001C220C">
        <w:t xml:space="preserve">red. S. Wronkowska, Z. Ziembiński, </w:t>
      </w:r>
      <w:r w:rsidR="00F46D1F">
        <w:t xml:space="preserve">Poznań 2001, s. 34, a także </w:t>
      </w:r>
      <w:r w:rsidR="009778C5">
        <w:t xml:space="preserve">M. Kamiński, </w:t>
      </w:r>
      <w:r w:rsidR="009778C5" w:rsidRPr="009778C5">
        <w:rPr>
          <w:i/>
          <w:iCs/>
        </w:rPr>
        <w:t>Normy merytoryczne wewnętrzne i zewnętrzne</w:t>
      </w:r>
      <w:r w:rsidR="009778C5">
        <w:t xml:space="preserve">, [w:] </w:t>
      </w:r>
      <w:r w:rsidR="009778C5" w:rsidRPr="009778C5">
        <w:rPr>
          <w:i/>
          <w:iCs/>
        </w:rPr>
        <w:t xml:space="preserve">Mechanizm i granice weryfikacji </w:t>
      </w:r>
      <w:proofErr w:type="spellStart"/>
      <w:r w:rsidR="009778C5" w:rsidRPr="009778C5">
        <w:rPr>
          <w:i/>
          <w:iCs/>
        </w:rPr>
        <w:t>sądowoadministracyjnej</w:t>
      </w:r>
      <w:proofErr w:type="spellEnd"/>
      <w:r w:rsidR="00F80314">
        <w:rPr>
          <w:i/>
          <w:iCs/>
        </w:rPr>
        <w:t>…</w:t>
      </w:r>
      <w:r w:rsidR="009778C5" w:rsidRPr="009778C5">
        <w:t xml:space="preserve">, </w:t>
      </w:r>
      <w:r w:rsidR="00B27CAC">
        <w:t>Warszawa 2016</w:t>
      </w:r>
      <w:r w:rsidR="00F00AB2">
        <w:t>, s. 13.</w:t>
      </w:r>
    </w:p>
  </w:footnote>
  <w:footnote w:id="29">
    <w:p w14:paraId="6E86034F" w14:textId="285054C8" w:rsidR="009D7AB7" w:rsidRDefault="009D7AB7" w:rsidP="009D7A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Zob. </w:t>
      </w:r>
      <w:r w:rsidR="00AD1C25">
        <w:t>K. Cień,</w:t>
      </w:r>
      <w:r>
        <w:t xml:space="preserve"> </w:t>
      </w:r>
      <w:r w:rsidRPr="0014092D">
        <w:rPr>
          <w:i/>
          <w:iCs/>
        </w:rPr>
        <w:t>Pojęcie prawa podatkowego</w:t>
      </w:r>
      <w:r w:rsidRPr="00A31D56">
        <w:t>,</w:t>
      </w:r>
      <w:r>
        <w:t xml:space="preserve"> [w:] </w:t>
      </w:r>
      <w:r w:rsidRPr="00D20470">
        <w:rPr>
          <w:i/>
          <w:iCs/>
        </w:rPr>
        <w:t>Prawo finansowe</w:t>
      </w:r>
      <w:r>
        <w:t xml:space="preserve">, red. </w:t>
      </w:r>
      <w:r w:rsidR="00AD1C25" w:rsidRPr="00AD1C25">
        <w:t xml:space="preserve">A. </w:t>
      </w:r>
      <w:proofErr w:type="spellStart"/>
      <w:r w:rsidR="00AD1C25" w:rsidRPr="00AD1C25">
        <w:t>Hanusz</w:t>
      </w:r>
      <w:proofErr w:type="spellEnd"/>
      <w:r w:rsidRPr="00D20470">
        <w:rPr>
          <w:i/>
          <w:iCs/>
        </w:rPr>
        <w:t>,</w:t>
      </w:r>
      <w:r>
        <w:t xml:space="preserve"> Warszawa 2022, s. 194</w:t>
      </w:r>
      <w:r w:rsidR="00AA2859">
        <w:t>.</w:t>
      </w:r>
    </w:p>
  </w:footnote>
  <w:footnote w:id="30">
    <w:p w14:paraId="439E990C" w14:textId="1E1497AD" w:rsidR="005132E7" w:rsidRDefault="005132E7" w:rsidP="00AF76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D3B5E" w:rsidRPr="00DD3B5E">
        <w:t xml:space="preserve">Por. </w:t>
      </w:r>
      <w:r w:rsidR="001F3536">
        <w:t>S</w:t>
      </w:r>
      <w:r w:rsidR="00DD3B5E">
        <w:t xml:space="preserve">. </w:t>
      </w:r>
      <w:proofErr w:type="spellStart"/>
      <w:r w:rsidR="00DD3B5E" w:rsidRPr="00DD3B5E">
        <w:t>Czepita</w:t>
      </w:r>
      <w:proofErr w:type="spellEnd"/>
      <w:r w:rsidR="00DD3B5E" w:rsidRPr="00DD3B5E">
        <w:t xml:space="preserve">, </w:t>
      </w:r>
      <w:r w:rsidR="00DD3B5E" w:rsidRPr="00DD3B5E">
        <w:rPr>
          <w:i/>
          <w:iCs/>
        </w:rPr>
        <w:t>O pojęciu czynności konwencjonalnej i jej odmianach</w:t>
      </w:r>
      <w:r w:rsidR="00DD3B5E" w:rsidRPr="00DD3B5E">
        <w:t>,</w:t>
      </w:r>
      <w:r w:rsidR="00AF7639">
        <w:t xml:space="preserve"> „</w:t>
      </w:r>
      <w:r w:rsidR="00AF7639" w:rsidRPr="006B5281">
        <w:t>Ruch Prawniczy, Ekonomiczny i Socjologiczny</w:t>
      </w:r>
      <w:r w:rsidR="00AF7639">
        <w:t>”</w:t>
      </w:r>
      <w:r w:rsidR="00DD3B5E" w:rsidRPr="00DD3B5E">
        <w:t xml:space="preserve"> 2017, </w:t>
      </w:r>
      <w:r w:rsidR="00DD3B5E">
        <w:t>n</w:t>
      </w:r>
      <w:r w:rsidR="00DD3B5E" w:rsidRPr="00DD3B5E">
        <w:t>r 1, s. 93-94.</w:t>
      </w:r>
    </w:p>
  </w:footnote>
  <w:footnote w:id="31">
    <w:p w14:paraId="027C0D9F" w14:textId="628274EC" w:rsidR="005E0940" w:rsidRDefault="005E0940" w:rsidP="007D0A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42433">
        <w:t>Więcej na temat norm kompetencyj</w:t>
      </w:r>
      <w:r w:rsidR="007D0AAA">
        <w:t>nych</w:t>
      </w:r>
      <w:r w:rsidR="00E42433">
        <w:t xml:space="preserve"> zob</w:t>
      </w:r>
      <w:r w:rsidR="00421CB9">
        <w:t xml:space="preserve">. Z. Ziembiński, </w:t>
      </w:r>
      <w:r w:rsidR="00421CB9" w:rsidRPr="007D0AAA">
        <w:rPr>
          <w:i/>
          <w:iCs/>
        </w:rPr>
        <w:t>Problemy podstawowe prawoznawstwa</w:t>
      </w:r>
      <w:r w:rsidR="00421CB9">
        <w:t xml:space="preserve">, </w:t>
      </w:r>
      <w:r w:rsidR="00A7104A">
        <w:t>Warszawa 1980, s. 160-163</w:t>
      </w:r>
      <w:r w:rsidR="007D0AAA">
        <w:t xml:space="preserve">, a także </w:t>
      </w:r>
      <w:r w:rsidR="008113FE">
        <w:t>Z. Ziembiński, Kompetencja i norma kompetencyjna</w:t>
      </w:r>
      <w:r w:rsidR="006B5281">
        <w:t>, „</w:t>
      </w:r>
      <w:r w:rsidR="006B5281" w:rsidRPr="006B5281">
        <w:t>Ruch Prawniczy, Ekonomiczny i Socjologiczny</w:t>
      </w:r>
      <w:r w:rsidR="006B5281">
        <w:t xml:space="preserve">” </w:t>
      </w:r>
      <w:r w:rsidR="005909C7">
        <w:t>1969, nr 4, s.</w:t>
      </w:r>
      <w:r w:rsidR="00B74043">
        <w:t xml:space="preserve"> 33-35.</w:t>
      </w:r>
    </w:p>
  </w:footnote>
  <w:footnote w:id="32">
    <w:p w14:paraId="5C56C41F" w14:textId="0BDAA7C5" w:rsidR="009C657B" w:rsidRDefault="009C657B" w:rsidP="00CC7D3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Ustawa z dnia </w:t>
      </w:r>
      <w:r w:rsidR="004F2908">
        <w:t>28 lipca 1983 r. o podatku od spadków i darowizn (</w:t>
      </w:r>
      <w:r w:rsidR="004F2908" w:rsidRPr="004F2908">
        <w:t>Dz.</w:t>
      </w:r>
      <w:r w:rsidR="004F2908">
        <w:t xml:space="preserve"> </w:t>
      </w:r>
      <w:r w:rsidR="004F2908" w:rsidRPr="004F2908">
        <w:t>U. z 2024 r. poz. 1837</w:t>
      </w:r>
      <w:r w:rsidR="004F2908">
        <w:t xml:space="preserve">), dalej jako: </w:t>
      </w:r>
      <w:proofErr w:type="spellStart"/>
      <w:r w:rsidR="004F2908">
        <w:t>u.p.s.d</w:t>
      </w:r>
      <w:proofErr w:type="spellEnd"/>
      <w:r w:rsidR="004F2908">
        <w:t>.</w:t>
      </w:r>
    </w:p>
  </w:footnote>
  <w:footnote w:id="33">
    <w:p w14:paraId="18141702" w14:textId="083C4516" w:rsidR="00687DE9" w:rsidRDefault="00687DE9" w:rsidP="00CC7D3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Więcej na ten temat zob. wyrok NSA z dnia 5 lipca 2024 r., III FSK 898/23,</w:t>
      </w:r>
      <w:r w:rsidRPr="00687DE9">
        <w:t xml:space="preserve"> </w:t>
      </w:r>
      <w:proofErr w:type="spellStart"/>
      <w:r w:rsidRPr="00687DE9">
        <w:t>Legalis</w:t>
      </w:r>
      <w:proofErr w:type="spellEnd"/>
      <w:r w:rsidRPr="00687DE9">
        <w:t xml:space="preserve"> nr 3100979</w:t>
      </w:r>
      <w:r>
        <w:t xml:space="preserve">., wyrok NSA z dnia 24 lipca 2024 r., III FSK 1251/23, </w:t>
      </w:r>
      <w:proofErr w:type="spellStart"/>
      <w:r w:rsidRPr="00687DE9">
        <w:t>Legalis</w:t>
      </w:r>
      <w:proofErr w:type="spellEnd"/>
      <w:r w:rsidRPr="00687DE9">
        <w:t xml:space="preserve"> nr 3106860</w:t>
      </w:r>
      <w:r>
        <w:t xml:space="preserve">, a także J. Szczygieł, </w:t>
      </w:r>
      <w:r w:rsidRPr="00687DE9">
        <w:rPr>
          <w:i/>
          <w:iCs/>
        </w:rPr>
        <w:t>Udokumentowanie dokonania przekazania środków pieniężnych przez darczyńcę na rzecz obdarowanego jako warunek zwolnienia od podatku od spadków i darowizn – glosa do uchwały składu siedmiu sędziów Naczelnego Sądu Administracyjnego z 20.03.2023 r., III FPS 3/22</w:t>
      </w:r>
      <w:r w:rsidRPr="00687DE9">
        <w:t xml:space="preserve">, </w:t>
      </w:r>
      <w:r>
        <w:t>„</w:t>
      </w:r>
      <w:r w:rsidRPr="00687DE9">
        <w:t>Glosa</w:t>
      </w:r>
      <w:r>
        <w:t>”</w:t>
      </w:r>
      <w:r>
        <w:br/>
      </w:r>
      <w:r w:rsidRPr="00687DE9">
        <w:t xml:space="preserve"> 2024, nr 1, s. 9</w:t>
      </w:r>
      <w:r>
        <w:t>9-100.</w:t>
      </w:r>
    </w:p>
  </w:footnote>
  <w:footnote w:id="34">
    <w:p w14:paraId="79219B9F" w14:textId="57DB7126" w:rsidR="003A2B75" w:rsidRDefault="003A2B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4D26">
        <w:t xml:space="preserve">Zob. </w:t>
      </w:r>
      <w:r w:rsidR="000469DE">
        <w:t>u</w:t>
      </w:r>
      <w:r w:rsidR="000469DE" w:rsidRPr="000469DE">
        <w:t>chwała NSA z 20</w:t>
      </w:r>
      <w:r w:rsidR="000469DE">
        <w:t xml:space="preserve"> marca</w:t>
      </w:r>
      <w:r w:rsidR="000469DE" w:rsidRPr="000469DE">
        <w:t xml:space="preserve"> 2023 r., III FPS 3/22, </w:t>
      </w:r>
      <w:proofErr w:type="spellStart"/>
      <w:r w:rsidR="00304722" w:rsidRPr="00304722">
        <w:t>Legalis</w:t>
      </w:r>
      <w:proofErr w:type="spellEnd"/>
      <w:r w:rsidR="00304722" w:rsidRPr="00304722">
        <w:t xml:space="preserve"> nr 2904275</w:t>
      </w:r>
      <w:r w:rsidR="00304722">
        <w:t>.</w:t>
      </w:r>
    </w:p>
  </w:footnote>
  <w:footnote w:id="35">
    <w:p w14:paraId="0C3881E0" w14:textId="24058CE9" w:rsidR="00141A43" w:rsidRPr="00745A25" w:rsidRDefault="00141A43" w:rsidP="009862E4">
      <w:pPr>
        <w:pStyle w:val="Tekstprzypisudolnego"/>
        <w:jc w:val="both"/>
      </w:pPr>
      <w:r w:rsidRPr="00745A25">
        <w:rPr>
          <w:rStyle w:val="Odwoanieprzypisudolnego"/>
        </w:rPr>
        <w:footnoteRef/>
      </w:r>
      <w:r w:rsidRPr="00745A25">
        <w:t xml:space="preserve"> Wyrok NSA z 24 lipca 2024 r., III FSK 1251/23, LEX nr 3750766.</w:t>
      </w:r>
    </w:p>
  </w:footnote>
  <w:footnote w:id="36">
    <w:p w14:paraId="226CBA64" w14:textId="7A272DAF" w:rsidR="00C36A11" w:rsidRPr="00745A25" w:rsidRDefault="00C36A11" w:rsidP="009862E4">
      <w:pPr>
        <w:pStyle w:val="Tekstprzypisudolnego"/>
        <w:jc w:val="both"/>
      </w:pPr>
      <w:r w:rsidRPr="00745A25">
        <w:rPr>
          <w:rStyle w:val="Odwoanieprzypisudolnego"/>
        </w:rPr>
        <w:footnoteRef/>
      </w:r>
      <w:r w:rsidRPr="00745A25">
        <w:t xml:space="preserve"> </w:t>
      </w:r>
      <w:r w:rsidR="00231CD0" w:rsidRPr="00745A25">
        <w:t>Tak</w:t>
      </w:r>
      <w:r w:rsidR="003C013A" w:rsidRPr="00745A25">
        <w:t xml:space="preserve"> </w:t>
      </w:r>
      <w:r w:rsidR="00FE5163" w:rsidRPr="00745A25">
        <w:t>R. Mastalski, Wnioskowania prawnicze w procesie stosowania prawa podatkowego</w:t>
      </w:r>
      <w:r w:rsidR="009D41EC" w:rsidRPr="00745A25">
        <w:t>, „</w:t>
      </w:r>
      <w:r w:rsidR="00712E47" w:rsidRPr="00745A25">
        <w:t>Przegląd</w:t>
      </w:r>
      <w:r w:rsidR="009D41EC" w:rsidRPr="00745A25">
        <w:t xml:space="preserve"> Podatkowy” 20</w:t>
      </w:r>
      <w:r w:rsidR="00712E47" w:rsidRPr="00745A25">
        <w:t>07 nr</w:t>
      </w:r>
      <w:r w:rsidR="00231CD0" w:rsidRPr="00745A25">
        <w:t xml:space="preserve"> 1</w:t>
      </w:r>
      <w:r w:rsidR="00712E47" w:rsidRPr="00745A25">
        <w:t>2</w:t>
      </w:r>
      <w:r w:rsidR="00231CD0" w:rsidRPr="00745A25">
        <w:t>, s. 8.</w:t>
      </w:r>
    </w:p>
  </w:footnote>
  <w:footnote w:id="37">
    <w:p w14:paraId="113C32F5" w14:textId="040F6FB3" w:rsidR="00254B57" w:rsidRPr="00745A25" w:rsidRDefault="00254B57" w:rsidP="009862E4">
      <w:pPr>
        <w:pStyle w:val="Tekstprzypisudolnego"/>
        <w:jc w:val="both"/>
      </w:pPr>
      <w:r w:rsidRPr="00745A25">
        <w:rPr>
          <w:rStyle w:val="Odwoanieprzypisudolnego"/>
        </w:rPr>
        <w:footnoteRef/>
      </w:r>
      <w:r w:rsidRPr="00745A25">
        <w:t xml:space="preserve"> </w:t>
      </w:r>
      <w:r w:rsidR="006B4C3D" w:rsidRPr="00745A25">
        <w:t xml:space="preserve">Zob. J. Nowacki, </w:t>
      </w:r>
      <w:r w:rsidR="006B4C3D" w:rsidRPr="00745A25">
        <w:rPr>
          <w:i/>
          <w:iCs/>
        </w:rPr>
        <w:t>Analogia legis</w:t>
      </w:r>
      <w:r w:rsidR="006B4C3D" w:rsidRPr="00745A25">
        <w:t>, Warszawa 1966, s. 9-11</w:t>
      </w:r>
      <w:r w:rsidR="006B4C3D">
        <w:t>, a także</w:t>
      </w:r>
      <w:r w:rsidRPr="00745A25">
        <w:t xml:space="preserve"> wyrok SN z 25 kwietnia 2007 r., IV CSK 34/07, LEX nr 461601.</w:t>
      </w:r>
    </w:p>
  </w:footnote>
  <w:footnote w:id="38">
    <w:p w14:paraId="1BA6C916" w14:textId="0478EEF5" w:rsidR="006271D7" w:rsidRDefault="006271D7" w:rsidP="009862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04EF1">
        <w:t xml:space="preserve">Zob. </w:t>
      </w:r>
      <w:r w:rsidR="008F1C12">
        <w:t xml:space="preserve">M. Kosiarski, </w:t>
      </w:r>
      <w:r w:rsidR="008F1C12" w:rsidRPr="008F1C12">
        <w:rPr>
          <w:i/>
          <w:iCs/>
        </w:rPr>
        <w:t>Zakres stosowania analogii legis w prawie administracyjnym, cz. 1,</w:t>
      </w:r>
      <w:r w:rsidR="008F1C12" w:rsidRPr="008F1C12">
        <w:t xml:space="preserve"> „Kwartalnik Prawa Publicznego” 2003</w:t>
      </w:r>
      <w:r w:rsidR="008F1C12">
        <w:t xml:space="preserve"> nr 1, s. 50.</w:t>
      </w:r>
    </w:p>
  </w:footnote>
  <w:footnote w:id="39">
    <w:p w14:paraId="1BBDDD20" w14:textId="70894FED" w:rsidR="00C33164" w:rsidRDefault="00C33164" w:rsidP="009862E4">
      <w:pPr>
        <w:pStyle w:val="Tekstprzypisudolnego"/>
        <w:tabs>
          <w:tab w:val="left" w:pos="6920"/>
        </w:tabs>
        <w:jc w:val="both"/>
      </w:pPr>
      <w:r>
        <w:rPr>
          <w:rStyle w:val="Odwoanieprzypisudolnego"/>
        </w:rPr>
        <w:footnoteRef/>
      </w:r>
      <w:r>
        <w:t xml:space="preserve"> Jak wskazuje się w piśmiennictwie</w:t>
      </w:r>
      <w:r w:rsidR="0047638A">
        <w:t xml:space="preserve">, </w:t>
      </w:r>
      <w:r w:rsidR="006631AE">
        <w:t>rezultat</w:t>
      </w:r>
      <w:r w:rsidR="005E6D26">
        <w:t xml:space="preserve"> wnioskowania przez </w:t>
      </w:r>
      <w:r w:rsidR="001D5AAD">
        <w:t>a</w:t>
      </w:r>
      <w:r w:rsidR="007B49DA">
        <w:t>nalogi</w:t>
      </w:r>
      <w:r w:rsidR="005E6D26">
        <w:t>ę</w:t>
      </w:r>
      <w:r w:rsidR="007B49DA">
        <w:t xml:space="preserve"> </w:t>
      </w:r>
      <w:r w:rsidR="007B49DA" w:rsidRPr="005E6D26">
        <w:rPr>
          <w:i/>
          <w:iCs/>
        </w:rPr>
        <w:t>extra legem</w:t>
      </w:r>
      <w:r w:rsidR="0047638A">
        <w:t xml:space="preserve"> </w:t>
      </w:r>
      <w:r w:rsidR="00167B8F">
        <w:t xml:space="preserve">wykracza </w:t>
      </w:r>
      <w:r w:rsidR="00167B8F" w:rsidRPr="00167B8F">
        <w:t xml:space="preserve">poza zakres </w:t>
      </w:r>
      <w:r w:rsidR="006631AE">
        <w:t xml:space="preserve">regulacji prawa </w:t>
      </w:r>
      <w:r w:rsidR="00FA6471">
        <w:t>obowiązującego</w:t>
      </w:r>
      <w:r w:rsidR="009862E4">
        <w:t xml:space="preserve">, dlatego ten rodzaj wnioskowania </w:t>
      </w:r>
      <w:r w:rsidR="00F74912">
        <w:t>jest</w:t>
      </w:r>
      <w:r w:rsidR="009862E4">
        <w:t xml:space="preserve"> nazywany</w:t>
      </w:r>
      <w:r w:rsidR="008A2804">
        <w:t xml:space="preserve"> </w:t>
      </w:r>
      <w:r w:rsidR="009862E4">
        <w:t>normotwórczym. Z</w:t>
      </w:r>
      <w:r w:rsidR="00FA6471">
        <w:t xml:space="preserve">ob. więcej na ten temat: </w:t>
      </w:r>
      <w:r w:rsidR="00C33BC9" w:rsidRPr="00C33BC9">
        <w:t xml:space="preserve">D. Gorczyca, P. Szczęśniak, </w:t>
      </w:r>
      <w:r w:rsidR="00C33BC9" w:rsidRPr="00C33BC9">
        <w:rPr>
          <w:i/>
          <w:iCs/>
        </w:rPr>
        <w:t>Skutki podatkowe przymusowego umorzenia obligacji banku w restrukturyzacji – glosa do wyroku Naczelnego Sądu Administracyjnego z 14.09.2022 r., II FSK 402/22</w:t>
      </w:r>
      <w:r w:rsidR="00C33BC9" w:rsidRPr="00C33BC9">
        <w:t xml:space="preserve">, </w:t>
      </w:r>
      <w:r w:rsidR="00C33BC9">
        <w:t>„</w:t>
      </w:r>
      <w:r w:rsidR="00C33BC9" w:rsidRPr="00C33BC9">
        <w:t>Glosa</w:t>
      </w:r>
      <w:r w:rsidR="00C33BC9">
        <w:t>”</w:t>
      </w:r>
      <w:r w:rsidR="00C33BC9" w:rsidRPr="00C33BC9">
        <w:t xml:space="preserve"> 2024, nr 3, s. 7</w:t>
      </w:r>
      <w:r w:rsidR="00C33BC9">
        <w:t>7</w:t>
      </w:r>
      <w:r w:rsidR="004823FC">
        <w:t xml:space="preserve">, a także M. </w:t>
      </w:r>
      <w:proofErr w:type="spellStart"/>
      <w:r w:rsidR="004823FC">
        <w:t>Słupczewski</w:t>
      </w:r>
      <w:proofErr w:type="spellEnd"/>
      <w:r w:rsidR="004823FC">
        <w:t xml:space="preserve">, </w:t>
      </w:r>
      <w:r w:rsidR="0040167B" w:rsidRPr="0040167B">
        <w:rPr>
          <w:i/>
          <w:iCs/>
        </w:rPr>
        <w:t>Rozumowanie per analogiam w prawie podatkowym</w:t>
      </w:r>
      <w:r w:rsidR="0040167B" w:rsidRPr="0040167B">
        <w:t>, Warszawa 2023</w:t>
      </w:r>
      <w:r w:rsidR="0040167B">
        <w:t>, s. 112-113.</w:t>
      </w:r>
    </w:p>
  </w:footnote>
  <w:footnote w:id="40">
    <w:p w14:paraId="74FE7251" w14:textId="39919B5F" w:rsidR="00624A74" w:rsidRPr="004B7C0F" w:rsidRDefault="00624A74" w:rsidP="00D30228">
      <w:pPr>
        <w:spacing w:after="0"/>
        <w:jc w:val="both"/>
        <w:rPr>
          <w:sz w:val="20"/>
        </w:rPr>
      </w:pPr>
      <w:r w:rsidRPr="00745A25">
        <w:rPr>
          <w:rStyle w:val="Odwoanieprzypisudolnego"/>
          <w:sz w:val="20"/>
        </w:rPr>
        <w:footnoteRef/>
      </w:r>
      <w:r w:rsidRPr="00745A25">
        <w:rPr>
          <w:sz w:val="20"/>
        </w:rPr>
        <w:t xml:space="preserve"> </w:t>
      </w:r>
      <w:r w:rsidR="006B4C3D" w:rsidRPr="006B4C3D">
        <w:rPr>
          <w:sz w:val="20"/>
        </w:rPr>
        <w:t>Wyrok</w:t>
      </w:r>
      <w:r w:rsidR="006B4C3D">
        <w:rPr>
          <w:sz w:val="20"/>
        </w:rPr>
        <w:t xml:space="preserve"> </w:t>
      </w:r>
      <w:r w:rsidR="006B4C3D" w:rsidRPr="006B4C3D">
        <w:rPr>
          <w:sz w:val="20"/>
        </w:rPr>
        <w:t>N</w:t>
      </w:r>
      <w:r w:rsidR="00B04EEC">
        <w:rPr>
          <w:sz w:val="20"/>
        </w:rPr>
        <w:t xml:space="preserve">SA </w:t>
      </w:r>
      <w:r w:rsidR="006B4C3D" w:rsidRPr="006B4C3D">
        <w:rPr>
          <w:sz w:val="20"/>
        </w:rPr>
        <w:t>z dnia 9 listopada 2012 r.</w:t>
      </w:r>
      <w:r w:rsidR="00B04EEC">
        <w:rPr>
          <w:sz w:val="20"/>
        </w:rPr>
        <w:t xml:space="preserve">, </w:t>
      </w:r>
      <w:r w:rsidR="006B4C3D" w:rsidRPr="006B4C3D">
        <w:rPr>
          <w:sz w:val="20"/>
        </w:rPr>
        <w:t>II FSK 612/11</w:t>
      </w:r>
      <w:r w:rsidR="00B04EEC">
        <w:rPr>
          <w:sz w:val="20"/>
        </w:rPr>
        <w:t xml:space="preserve">, </w:t>
      </w:r>
      <w:proofErr w:type="spellStart"/>
      <w:r w:rsidR="00B04EEC" w:rsidRPr="00B04EEC">
        <w:rPr>
          <w:sz w:val="20"/>
        </w:rPr>
        <w:t>Legalis</w:t>
      </w:r>
      <w:proofErr w:type="spellEnd"/>
      <w:r w:rsidR="00B04EEC" w:rsidRPr="00B04EEC">
        <w:rPr>
          <w:sz w:val="20"/>
        </w:rPr>
        <w:t xml:space="preserve"> nr 552188</w:t>
      </w:r>
      <w:r w:rsidR="003A5196">
        <w:rPr>
          <w:sz w:val="20"/>
        </w:rPr>
        <w:t xml:space="preserve">, a także </w:t>
      </w:r>
      <w:r w:rsidR="00AE71D4">
        <w:rPr>
          <w:sz w:val="20"/>
        </w:rPr>
        <w:t xml:space="preserve">K. Radzikowski, </w:t>
      </w:r>
      <w:r w:rsidR="004D6DCA" w:rsidRPr="004D6DCA">
        <w:rPr>
          <w:i/>
          <w:iCs/>
          <w:sz w:val="20"/>
        </w:rPr>
        <w:t>A</w:t>
      </w:r>
      <w:r w:rsidR="00AE71D4" w:rsidRPr="004D6DCA">
        <w:rPr>
          <w:i/>
          <w:iCs/>
          <w:sz w:val="20"/>
        </w:rPr>
        <w:t>nalogia w prawie podatkowym</w:t>
      </w:r>
      <w:r w:rsidR="00AE71D4">
        <w:rPr>
          <w:sz w:val="20"/>
        </w:rPr>
        <w:t>, „Przegląd Podatkowy”</w:t>
      </w:r>
      <w:r w:rsidR="00B55D8F">
        <w:rPr>
          <w:sz w:val="20"/>
        </w:rPr>
        <w:t xml:space="preserve"> 2007 nr 4, s. </w:t>
      </w:r>
      <w:r w:rsidR="004D6DCA">
        <w:rPr>
          <w:sz w:val="20"/>
        </w:rPr>
        <w:t>19</w:t>
      </w:r>
      <w:r w:rsidR="00B55D8F">
        <w:rPr>
          <w:sz w:val="20"/>
        </w:rPr>
        <w:t>-</w:t>
      </w:r>
      <w:r w:rsidR="004D6DCA">
        <w:rPr>
          <w:sz w:val="20"/>
        </w:rPr>
        <w:t>2</w:t>
      </w:r>
      <w:r w:rsidR="00B55D8F">
        <w:rPr>
          <w:sz w:val="20"/>
        </w:rPr>
        <w:t>0.</w:t>
      </w:r>
    </w:p>
  </w:footnote>
  <w:footnote w:id="41">
    <w:p w14:paraId="203A505A" w14:textId="548D859A" w:rsidR="0005175C" w:rsidRDefault="0005175C" w:rsidP="00D302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175C">
        <w:t xml:space="preserve">J. </w:t>
      </w:r>
      <w:proofErr w:type="spellStart"/>
      <w:r w:rsidRPr="0005175C">
        <w:t>Brolik</w:t>
      </w:r>
      <w:proofErr w:type="spellEnd"/>
      <w:r w:rsidRPr="0005175C">
        <w:t>, </w:t>
      </w:r>
      <w:r w:rsidRPr="0040167B">
        <w:rPr>
          <w:i/>
          <w:iCs/>
        </w:rPr>
        <w:t>Wykładnia prawa podatkowego oraz jej determinanty</w:t>
      </w:r>
      <w:r w:rsidRPr="0005175C">
        <w:t xml:space="preserve">, </w:t>
      </w:r>
      <w:r>
        <w:t>„Zeszyty Naukowe Sądownictwa Administracyjnego”</w:t>
      </w:r>
      <w:r w:rsidRPr="0005175C">
        <w:t xml:space="preserve"> 2014, nr 3, s. </w:t>
      </w:r>
      <w:r>
        <w:t>64.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306E9"/>
    <w:multiLevelType w:val="hybridMultilevel"/>
    <w:tmpl w:val="813A0472"/>
    <w:lvl w:ilvl="0" w:tplc="03AE9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309"/>
    <w:multiLevelType w:val="hybridMultilevel"/>
    <w:tmpl w:val="46021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6306EC"/>
    <w:multiLevelType w:val="hybridMultilevel"/>
    <w:tmpl w:val="21AA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43EA"/>
    <w:multiLevelType w:val="hybridMultilevel"/>
    <w:tmpl w:val="2068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477"/>
    <w:multiLevelType w:val="hybridMultilevel"/>
    <w:tmpl w:val="DFE6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05011">
    <w:abstractNumId w:val="0"/>
  </w:num>
  <w:num w:numId="2" w16cid:durableId="1997223054">
    <w:abstractNumId w:val="0"/>
  </w:num>
  <w:num w:numId="3" w16cid:durableId="1966035519">
    <w:abstractNumId w:val="2"/>
  </w:num>
  <w:num w:numId="4" w16cid:durableId="478888947">
    <w:abstractNumId w:val="3"/>
  </w:num>
  <w:num w:numId="5" w16cid:durableId="941763647">
    <w:abstractNumId w:val="1"/>
  </w:num>
  <w:num w:numId="6" w16cid:durableId="382095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5F"/>
    <w:rsid w:val="00000B18"/>
    <w:rsid w:val="00002169"/>
    <w:rsid w:val="0000236F"/>
    <w:rsid w:val="00005BBB"/>
    <w:rsid w:val="00005DD1"/>
    <w:rsid w:val="00010F56"/>
    <w:rsid w:val="00011F3E"/>
    <w:rsid w:val="000133B7"/>
    <w:rsid w:val="000145BB"/>
    <w:rsid w:val="00014725"/>
    <w:rsid w:val="00015375"/>
    <w:rsid w:val="00016D92"/>
    <w:rsid w:val="00016E48"/>
    <w:rsid w:val="000176EB"/>
    <w:rsid w:val="00017806"/>
    <w:rsid w:val="00017C2C"/>
    <w:rsid w:val="00017C71"/>
    <w:rsid w:val="0002026F"/>
    <w:rsid w:val="000218AC"/>
    <w:rsid w:val="0002282B"/>
    <w:rsid w:val="0002583E"/>
    <w:rsid w:val="00026369"/>
    <w:rsid w:val="00030557"/>
    <w:rsid w:val="00030798"/>
    <w:rsid w:val="00033F6A"/>
    <w:rsid w:val="000347CF"/>
    <w:rsid w:val="0003715F"/>
    <w:rsid w:val="000421BB"/>
    <w:rsid w:val="00043850"/>
    <w:rsid w:val="00043E48"/>
    <w:rsid w:val="000440D5"/>
    <w:rsid w:val="00044180"/>
    <w:rsid w:val="0004449C"/>
    <w:rsid w:val="00046632"/>
    <w:rsid w:val="000469DE"/>
    <w:rsid w:val="00050E78"/>
    <w:rsid w:val="00051600"/>
    <w:rsid w:val="0005175C"/>
    <w:rsid w:val="00051A37"/>
    <w:rsid w:val="00053749"/>
    <w:rsid w:val="00053E40"/>
    <w:rsid w:val="00053ED4"/>
    <w:rsid w:val="00053F70"/>
    <w:rsid w:val="0005595A"/>
    <w:rsid w:val="00056542"/>
    <w:rsid w:val="00057A86"/>
    <w:rsid w:val="000600A8"/>
    <w:rsid w:val="0006028C"/>
    <w:rsid w:val="0006035D"/>
    <w:rsid w:val="0006215F"/>
    <w:rsid w:val="0006399E"/>
    <w:rsid w:val="0006515C"/>
    <w:rsid w:val="0006599A"/>
    <w:rsid w:val="00067126"/>
    <w:rsid w:val="000676BD"/>
    <w:rsid w:val="00067C2A"/>
    <w:rsid w:val="000704B3"/>
    <w:rsid w:val="00070722"/>
    <w:rsid w:val="00070F86"/>
    <w:rsid w:val="00071882"/>
    <w:rsid w:val="000726D6"/>
    <w:rsid w:val="000730B2"/>
    <w:rsid w:val="00073213"/>
    <w:rsid w:val="000735DE"/>
    <w:rsid w:val="00074123"/>
    <w:rsid w:val="00074557"/>
    <w:rsid w:val="00075852"/>
    <w:rsid w:val="000774EC"/>
    <w:rsid w:val="00081CB8"/>
    <w:rsid w:val="000835A3"/>
    <w:rsid w:val="00083711"/>
    <w:rsid w:val="00084AB1"/>
    <w:rsid w:val="00085A39"/>
    <w:rsid w:val="0008631D"/>
    <w:rsid w:val="00086D37"/>
    <w:rsid w:val="00087078"/>
    <w:rsid w:val="0008707D"/>
    <w:rsid w:val="00090196"/>
    <w:rsid w:val="000932A7"/>
    <w:rsid w:val="00096087"/>
    <w:rsid w:val="00096906"/>
    <w:rsid w:val="00097280"/>
    <w:rsid w:val="000A0F26"/>
    <w:rsid w:val="000A1451"/>
    <w:rsid w:val="000A37BB"/>
    <w:rsid w:val="000A4C78"/>
    <w:rsid w:val="000A566D"/>
    <w:rsid w:val="000A57FC"/>
    <w:rsid w:val="000A5944"/>
    <w:rsid w:val="000A6283"/>
    <w:rsid w:val="000A6D49"/>
    <w:rsid w:val="000B18FE"/>
    <w:rsid w:val="000B1C78"/>
    <w:rsid w:val="000B20EA"/>
    <w:rsid w:val="000B302A"/>
    <w:rsid w:val="000C08BB"/>
    <w:rsid w:val="000C28A7"/>
    <w:rsid w:val="000C6199"/>
    <w:rsid w:val="000C6F6E"/>
    <w:rsid w:val="000D179E"/>
    <w:rsid w:val="000D23A6"/>
    <w:rsid w:val="000D356C"/>
    <w:rsid w:val="000D3831"/>
    <w:rsid w:val="000D5A23"/>
    <w:rsid w:val="000D5DC1"/>
    <w:rsid w:val="000D64E2"/>
    <w:rsid w:val="000D7DE0"/>
    <w:rsid w:val="000E1801"/>
    <w:rsid w:val="000E38BD"/>
    <w:rsid w:val="000E4159"/>
    <w:rsid w:val="000E41AE"/>
    <w:rsid w:val="000E48E8"/>
    <w:rsid w:val="000E54E3"/>
    <w:rsid w:val="000E6142"/>
    <w:rsid w:val="000E7CC3"/>
    <w:rsid w:val="000F02E9"/>
    <w:rsid w:val="000F12C6"/>
    <w:rsid w:val="000F140C"/>
    <w:rsid w:val="000F1D9F"/>
    <w:rsid w:val="000F320C"/>
    <w:rsid w:val="000F3350"/>
    <w:rsid w:val="000F3E8D"/>
    <w:rsid w:val="000F5DDC"/>
    <w:rsid w:val="000F6049"/>
    <w:rsid w:val="001043C6"/>
    <w:rsid w:val="00105DB9"/>
    <w:rsid w:val="00111BD3"/>
    <w:rsid w:val="00112D8B"/>
    <w:rsid w:val="00114015"/>
    <w:rsid w:val="00116243"/>
    <w:rsid w:val="001179DE"/>
    <w:rsid w:val="00120088"/>
    <w:rsid w:val="00121C54"/>
    <w:rsid w:val="001230B9"/>
    <w:rsid w:val="00123E30"/>
    <w:rsid w:val="00124E08"/>
    <w:rsid w:val="0012555B"/>
    <w:rsid w:val="00125B5F"/>
    <w:rsid w:val="00126497"/>
    <w:rsid w:val="00126622"/>
    <w:rsid w:val="001266F8"/>
    <w:rsid w:val="001269C0"/>
    <w:rsid w:val="00127E1C"/>
    <w:rsid w:val="001304CA"/>
    <w:rsid w:val="00130539"/>
    <w:rsid w:val="001312E4"/>
    <w:rsid w:val="0013131B"/>
    <w:rsid w:val="0013183A"/>
    <w:rsid w:val="00132120"/>
    <w:rsid w:val="0013336B"/>
    <w:rsid w:val="00133EF5"/>
    <w:rsid w:val="00134A63"/>
    <w:rsid w:val="001359D2"/>
    <w:rsid w:val="00135CE8"/>
    <w:rsid w:val="00135FFD"/>
    <w:rsid w:val="00137C91"/>
    <w:rsid w:val="00137D22"/>
    <w:rsid w:val="0014092D"/>
    <w:rsid w:val="00141A43"/>
    <w:rsid w:val="00141CEE"/>
    <w:rsid w:val="00145A3E"/>
    <w:rsid w:val="00147AD5"/>
    <w:rsid w:val="001514AD"/>
    <w:rsid w:val="00151B34"/>
    <w:rsid w:val="00151DFD"/>
    <w:rsid w:val="00152368"/>
    <w:rsid w:val="0015237D"/>
    <w:rsid w:val="00153C0E"/>
    <w:rsid w:val="0015515D"/>
    <w:rsid w:val="00156920"/>
    <w:rsid w:val="00160847"/>
    <w:rsid w:val="00163A2D"/>
    <w:rsid w:val="00167B8F"/>
    <w:rsid w:val="00167BBF"/>
    <w:rsid w:val="00172B68"/>
    <w:rsid w:val="001749A1"/>
    <w:rsid w:val="00174DAD"/>
    <w:rsid w:val="001774C6"/>
    <w:rsid w:val="001777B4"/>
    <w:rsid w:val="00180085"/>
    <w:rsid w:val="00180207"/>
    <w:rsid w:val="0018233E"/>
    <w:rsid w:val="001832C2"/>
    <w:rsid w:val="00184F18"/>
    <w:rsid w:val="00185B55"/>
    <w:rsid w:val="001861DC"/>
    <w:rsid w:val="00187E0C"/>
    <w:rsid w:val="0019141D"/>
    <w:rsid w:val="0019184E"/>
    <w:rsid w:val="00192028"/>
    <w:rsid w:val="00193EAE"/>
    <w:rsid w:val="00194397"/>
    <w:rsid w:val="0019469F"/>
    <w:rsid w:val="0019470B"/>
    <w:rsid w:val="00195095"/>
    <w:rsid w:val="001A1E06"/>
    <w:rsid w:val="001A2418"/>
    <w:rsid w:val="001A29F9"/>
    <w:rsid w:val="001A41EA"/>
    <w:rsid w:val="001A52B4"/>
    <w:rsid w:val="001A5620"/>
    <w:rsid w:val="001A5AA1"/>
    <w:rsid w:val="001B0205"/>
    <w:rsid w:val="001B19B9"/>
    <w:rsid w:val="001B2140"/>
    <w:rsid w:val="001B2184"/>
    <w:rsid w:val="001B3F30"/>
    <w:rsid w:val="001B4F1E"/>
    <w:rsid w:val="001B6764"/>
    <w:rsid w:val="001B69CE"/>
    <w:rsid w:val="001C0949"/>
    <w:rsid w:val="001C220C"/>
    <w:rsid w:val="001C2CFC"/>
    <w:rsid w:val="001C50DC"/>
    <w:rsid w:val="001D0095"/>
    <w:rsid w:val="001D16CB"/>
    <w:rsid w:val="001D17A9"/>
    <w:rsid w:val="001D1BD6"/>
    <w:rsid w:val="001D5AAD"/>
    <w:rsid w:val="001D66B0"/>
    <w:rsid w:val="001D7CF7"/>
    <w:rsid w:val="001D7E22"/>
    <w:rsid w:val="001E1F71"/>
    <w:rsid w:val="001E219D"/>
    <w:rsid w:val="001E31CF"/>
    <w:rsid w:val="001E4E23"/>
    <w:rsid w:val="001E5F10"/>
    <w:rsid w:val="001E6210"/>
    <w:rsid w:val="001E6C1A"/>
    <w:rsid w:val="001F0519"/>
    <w:rsid w:val="001F0B0A"/>
    <w:rsid w:val="001F1FBC"/>
    <w:rsid w:val="001F2C45"/>
    <w:rsid w:val="001F3158"/>
    <w:rsid w:val="001F318B"/>
    <w:rsid w:val="001F3536"/>
    <w:rsid w:val="001F422A"/>
    <w:rsid w:val="001F5340"/>
    <w:rsid w:val="001F5812"/>
    <w:rsid w:val="001F7E49"/>
    <w:rsid w:val="00204E3C"/>
    <w:rsid w:val="002065FD"/>
    <w:rsid w:val="00207630"/>
    <w:rsid w:val="002076FD"/>
    <w:rsid w:val="0021075F"/>
    <w:rsid w:val="002109EC"/>
    <w:rsid w:val="00211127"/>
    <w:rsid w:val="002111A9"/>
    <w:rsid w:val="00214DDC"/>
    <w:rsid w:val="00215FFB"/>
    <w:rsid w:val="00216F7D"/>
    <w:rsid w:val="00217B52"/>
    <w:rsid w:val="0022024E"/>
    <w:rsid w:val="00221B72"/>
    <w:rsid w:val="00222BC4"/>
    <w:rsid w:val="0022325B"/>
    <w:rsid w:val="00223C26"/>
    <w:rsid w:val="00223DFC"/>
    <w:rsid w:val="00223EBF"/>
    <w:rsid w:val="002241F9"/>
    <w:rsid w:val="00227E24"/>
    <w:rsid w:val="002300AE"/>
    <w:rsid w:val="00230A67"/>
    <w:rsid w:val="00230AA2"/>
    <w:rsid w:val="00231CD0"/>
    <w:rsid w:val="002320F4"/>
    <w:rsid w:val="00234D6A"/>
    <w:rsid w:val="0023575D"/>
    <w:rsid w:val="002363EB"/>
    <w:rsid w:val="00236A78"/>
    <w:rsid w:val="00237270"/>
    <w:rsid w:val="002400FE"/>
    <w:rsid w:val="0024159B"/>
    <w:rsid w:val="0024173F"/>
    <w:rsid w:val="002428E7"/>
    <w:rsid w:val="002445AC"/>
    <w:rsid w:val="002466AE"/>
    <w:rsid w:val="0024715D"/>
    <w:rsid w:val="00247DE5"/>
    <w:rsid w:val="002535CC"/>
    <w:rsid w:val="00253F74"/>
    <w:rsid w:val="00254B57"/>
    <w:rsid w:val="00256933"/>
    <w:rsid w:val="00260083"/>
    <w:rsid w:val="00261033"/>
    <w:rsid w:val="002616CF"/>
    <w:rsid w:val="00262709"/>
    <w:rsid w:val="00262A78"/>
    <w:rsid w:val="00262C68"/>
    <w:rsid w:val="00262E32"/>
    <w:rsid w:val="00263BB6"/>
    <w:rsid w:val="00263F0C"/>
    <w:rsid w:val="00263F60"/>
    <w:rsid w:val="00264379"/>
    <w:rsid w:val="00265368"/>
    <w:rsid w:val="00266CB5"/>
    <w:rsid w:val="00270F97"/>
    <w:rsid w:val="00271BEC"/>
    <w:rsid w:val="00271D05"/>
    <w:rsid w:val="0027507C"/>
    <w:rsid w:val="00275166"/>
    <w:rsid w:val="00275347"/>
    <w:rsid w:val="002756AD"/>
    <w:rsid w:val="002758B0"/>
    <w:rsid w:val="00280F22"/>
    <w:rsid w:val="0028194A"/>
    <w:rsid w:val="00283001"/>
    <w:rsid w:val="00284B65"/>
    <w:rsid w:val="0028594C"/>
    <w:rsid w:val="00286567"/>
    <w:rsid w:val="002909C5"/>
    <w:rsid w:val="00291E06"/>
    <w:rsid w:val="002929C6"/>
    <w:rsid w:val="00293B4E"/>
    <w:rsid w:val="00294A6F"/>
    <w:rsid w:val="00295841"/>
    <w:rsid w:val="002971DF"/>
    <w:rsid w:val="002A0B9E"/>
    <w:rsid w:val="002A0CE0"/>
    <w:rsid w:val="002A25BC"/>
    <w:rsid w:val="002A30CF"/>
    <w:rsid w:val="002A397E"/>
    <w:rsid w:val="002A4D87"/>
    <w:rsid w:val="002A533E"/>
    <w:rsid w:val="002A5883"/>
    <w:rsid w:val="002A594B"/>
    <w:rsid w:val="002A600B"/>
    <w:rsid w:val="002A7230"/>
    <w:rsid w:val="002A7C50"/>
    <w:rsid w:val="002A7D26"/>
    <w:rsid w:val="002B02BB"/>
    <w:rsid w:val="002B288D"/>
    <w:rsid w:val="002B4333"/>
    <w:rsid w:val="002B4D77"/>
    <w:rsid w:val="002B63E2"/>
    <w:rsid w:val="002C0190"/>
    <w:rsid w:val="002C19B7"/>
    <w:rsid w:val="002C1BB4"/>
    <w:rsid w:val="002C27B1"/>
    <w:rsid w:val="002C45C1"/>
    <w:rsid w:val="002C5D39"/>
    <w:rsid w:val="002C6B02"/>
    <w:rsid w:val="002C6CAB"/>
    <w:rsid w:val="002D00D5"/>
    <w:rsid w:val="002D0743"/>
    <w:rsid w:val="002D3152"/>
    <w:rsid w:val="002D3ABF"/>
    <w:rsid w:val="002D568E"/>
    <w:rsid w:val="002D5A24"/>
    <w:rsid w:val="002D5CF0"/>
    <w:rsid w:val="002D6362"/>
    <w:rsid w:val="002D743F"/>
    <w:rsid w:val="002E0725"/>
    <w:rsid w:val="002E0DA3"/>
    <w:rsid w:val="002E1540"/>
    <w:rsid w:val="002E2005"/>
    <w:rsid w:val="002E3608"/>
    <w:rsid w:val="002E3D1C"/>
    <w:rsid w:val="002E5B9F"/>
    <w:rsid w:val="002F1772"/>
    <w:rsid w:val="002F1E5B"/>
    <w:rsid w:val="002F208C"/>
    <w:rsid w:val="002F3282"/>
    <w:rsid w:val="002F4783"/>
    <w:rsid w:val="002F6046"/>
    <w:rsid w:val="0030168F"/>
    <w:rsid w:val="0030346F"/>
    <w:rsid w:val="0030405D"/>
    <w:rsid w:val="0030460D"/>
    <w:rsid w:val="00304722"/>
    <w:rsid w:val="0030566B"/>
    <w:rsid w:val="00305B48"/>
    <w:rsid w:val="00306581"/>
    <w:rsid w:val="00306FBE"/>
    <w:rsid w:val="003109F9"/>
    <w:rsid w:val="00310DC2"/>
    <w:rsid w:val="00313A28"/>
    <w:rsid w:val="00316293"/>
    <w:rsid w:val="00316491"/>
    <w:rsid w:val="00316799"/>
    <w:rsid w:val="00317712"/>
    <w:rsid w:val="00317A29"/>
    <w:rsid w:val="00317B6D"/>
    <w:rsid w:val="00317E6F"/>
    <w:rsid w:val="00323BC8"/>
    <w:rsid w:val="003247C0"/>
    <w:rsid w:val="00325AC6"/>
    <w:rsid w:val="00325E01"/>
    <w:rsid w:val="00330C00"/>
    <w:rsid w:val="00332575"/>
    <w:rsid w:val="00333B33"/>
    <w:rsid w:val="00335774"/>
    <w:rsid w:val="003367B1"/>
    <w:rsid w:val="00340ADF"/>
    <w:rsid w:val="00340E47"/>
    <w:rsid w:val="00341548"/>
    <w:rsid w:val="0034191F"/>
    <w:rsid w:val="003448A1"/>
    <w:rsid w:val="0034528F"/>
    <w:rsid w:val="00345344"/>
    <w:rsid w:val="0034553B"/>
    <w:rsid w:val="003456AC"/>
    <w:rsid w:val="003457C6"/>
    <w:rsid w:val="00346538"/>
    <w:rsid w:val="003507DF"/>
    <w:rsid w:val="0035086B"/>
    <w:rsid w:val="00352EEF"/>
    <w:rsid w:val="0035346B"/>
    <w:rsid w:val="00354917"/>
    <w:rsid w:val="00354EB4"/>
    <w:rsid w:val="0035572A"/>
    <w:rsid w:val="003561B5"/>
    <w:rsid w:val="00357BB7"/>
    <w:rsid w:val="00357D1D"/>
    <w:rsid w:val="00361598"/>
    <w:rsid w:val="00361B38"/>
    <w:rsid w:val="00362164"/>
    <w:rsid w:val="00362FFA"/>
    <w:rsid w:val="00363F37"/>
    <w:rsid w:val="0036440F"/>
    <w:rsid w:val="00364931"/>
    <w:rsid w:val="003659C9"/>
    <w:rsid w:val="00365EAE"/>
    <w:rsid w:val="00367D6D"/>
    <w:rsid w:val="003703B4"/>
    <w:rsid w:val="00370BD8"/>
    <w:rsid w:val="003744F9"/>
    <w:rsid w:val="003759E0"/>
    <w:rsid w:val="00375EFB"/>
    <w:rsid w:val="00377C76"/>
    <w:rsid w:val="00380C6C"/>
    <w:rsid w:val="00381253"/>
    <w:rsid w:val="00383B56"/>
    <w:rsid w:val="00383DD1"/>
    <w:rsid w:val="00385D0A"/>
    <w:rsid w:val="003879C8"/>
    <w:rsid w:val="003924DE"/>
    <w:rsid w:val="003932F4"/>
    <w:rsid w:val="003949D9"/>
    <w:rsid w:val="00396BA5"/>
    <w:rsid w:val="00396FD8"/>
    <w:rsid w:val="003A17B5"/>
    <w:rsid w:val="003A2B75"/>
    <w:rsid w:val="003A3788"/>
    <w:rsid w:val="003A3C04"/>
    <w:rsid w:val="003A3C8E"/>
    <w:rsid w:val="003A43FB"/>
    <w:rsid w:val="003A5196"/>
    <w:rsid w:val="003A552D"/>
    <w:rsid w:val="003A62A0"/>
    <w:rsid w:val="003A70FF"/>
    <w:rsid w:val="003A7263"/>
    <w:rsid w:val="003A7511"/>
    <w:rsid w:val="003A7B19"/>
    <w:rsid w:val="003B3272"/>
    <w:rsid w:val="003B330E"/>
    <w:rsid w:val="003B7A6A"/>
    <w:rsid w:val="003C013A"/>
    <w:rsid w:val="003C0843"/>
    <w:rsid w:val="003C1273"/>
    <w:rsid w:val="003C26D5"/>
    <w:rsid w:val="003C5A63"/>
    <w:rsid w:val="003C604D"/>
    <w:rsid w:val="003C7BBF"/>
    <w:rsid w:val="003D029B"/>
    <w:rsid w:val="003D0593"/>
    <w:rsid w:val="003D1138"/>
    <w:rsid w:val="003D24F1"/>
    <w:rsid w:val="003D2934"/>
    <w:rsid w:val="003D4C50"/>
    <w:rsid w:val="003D5F0E"/>
    <w:rsid w:val="003E0126"/>
    <w:rsid w:val="003E02FB"/>
    <w:rsid w:val="003E18DD"/>
    <w:rsid w:val="003E1BDB"/>
    <w:rsid w:val="003E36A2"/>
    <w:rsid w:val="003E3F10"/>
    <w:rsid w:val="003F0F0A"/>
    <w:rsid w:val="003F1681"/>
    <w:rsid w:val="003F1871"/>
    <w:rsid w:val="003F29C2"/>
    <w:rsid w:val="003F3346"/>
    <w:rsid w:val="003F3B68"/>
    <w:rsid w:val="003F5C72"/>
    <w:rsid w:val="00400AB2"/>
    <w:rsid w:val="00401654"/>
    <w:rsid w:val="0040167B"/>
    <w:rsid w:val="00401CB5"/>
    <w:rsid w:val="00402038"/>
    <w:rsid w:val="004025FA"/>
    <w:rsid w:val="00403637"/>
    <w:rsid w:val="0040393F"/>
    <w:rsid w:val="00404E0C"/>
    <w:rsid w:val="00405890"/>
    <w:rsid w:val="00406C92"/>
    <w:rsid w:val="00406E70"/>
    <w:rsid w:val="004077D9"/>
    <w:rsid w:val="00407A71"/>
    <w:rsid w:val="00411BB9"/>
    <w:rsid w:val="00413677"/>
    <w:rsid w:val="00416FB6"/>
    <w:rsid w:val="00420A90"/>
    <w:rsid w:val="00421CB9"/>
    <w:rsid w:val="004240B4"/>
    <w:rsid w:val="00424E1B"/>
    <w:rsid w:val="00426561"/>
    <w:rsid w:val="004274EA"/>
    <w:rsid w:val="0043205A"/>
    <w:rsid w:val="004322CF"/>
    <w:rsid w:val="004325FC"/>
    <w:rsid w:val="00434D52"/>
    <w:rsid w:val="00435D3D"/>
    <w:rsid w:val="00436C06"/>
    <w:rsid w:val="004379F7"/>
    <w:rsid w:val="00437C15"/>
    <w:rsid w:val="00437CDA"/>
    <w:rsid w:val="00440692"/>
    <w:rsid w:val="00442064"/>
    <w:rsid w:val="00444119"/>
    <w:rsid w:val="004448AE"/>
    <w:rsid w:val="004453CA"/>
    <w:rsid w:val="004512C4"/>
    <w:rsid w:val="00451D32"/>
    <w:rsid w:val="004535F7"/>
    <w:rsid w:val="004556AE"/>
    <w:rsid w:val="00455F36"/>
    <w:rsid w:val="0045663A"/>
    <w:rsid w:val="0046160B"/>
    <w:rsid w:val="004628F6"/>
    <w:rsid w:val="00463EB6"/>
    <w:rsid w:val="0046474C"/>
    <w:rsid w:val="00465292"/>
    <w:rsid w:val="00465DA1"/>
    <w:rsid w:val="00466A41"/>
    <w:rsid w:val="00466F2D"/>
    <w:rsid w:val="00467B5B"/>
    <w:rsid w:val="00467D6B"/>
    <w:rsid w:val="004717A8"/>
    <w:rsid w:val="00472DB1"/>
    <w:rsid w:val="0047342D"/>
    <w:rsid w:val="00473E0E"/>
    <w:rsid w:val="00473EFF"/>
    <w:rsid w:val="0047638A"/>
    <w:rsid w:val="00477074"/>
    <w:rsid w:val="0048174A"/>
    <w:rsid w:val="004823FC"/>
    <w:rsid w:val="004863A0"/>
    <w:rsid w:val="004868F9"/>
    <w:rsid w:val="00487F9C"/>
    <w:rsid w:val="00491D10"/>
    <w:rsid w:val="004926EC"/>
    <w:rsid w:val="00492FAC"/>
    <w:rsid w:val="004936DF"/>
    <w:rsid w:val="0049588C"/>
    <w:rsid w:val="00496D3F"/>
    <w:rsid w:val="00496EDE"/>
    <w:rsid w:val="00497379"/>
    <w:rsid w:val="00497A92"/>
    <w:rsid w:val="004A04C1"/>
    <w:rsid w:val="004A11A1"/>
    <w:rsid w:val="004A1D64"/>
    <w:rsid w:val="004A497A"/>
    <w:rsid w:val="004A576E"/>
    <w:rsid w:val="004A5EB0"/>
    <w:rsid w:val="004A667A"/>
    <w:rsid w:val="004A7C43"/>
    <w:rsid w:val="004A7CAB"/>
    <w:rsid w:val="004B017C"/>
    <w:rsid w:val="004B0827"/>
    <w:rsid w:val="004B4884"/>
    <w:rsid w:val="004B6A62"/>
    <w:rsid w:val="004B7C0F"/>
    <w:rsid w:val="004B7F03"/>
    <w:rsid w:val="004C18D8"/>
    <w:rsid w:val="004C1B3E"/>
    <w:rsid w:val="004C1E62"/>
    <w:rsid w:val="004C2FFB"/>
    <w:rsid w:val="004C3720"/>
    <w:rsid w:val="004C6463"/>
    <w:rsid w:val="004C69D7"/>
    <w:rsid w:val="004C6C1C"/>
    <w:rsid w:val="004C7BB0"/>
    <w:rsid w:val="004D06D3"/>
    <w:rsid w:val="004D12A3"/>
    <w:rsid w:val="004D28F8"/>
    <w:rsid w:val="004D3635"/>
    <w:rsid w:val="004D3A8F"/>
    <w:rsid w:val="004D4E50"/>
    <w:rsid w:val="004D56BA"/>
    <w:rsid w:val="004D62C9"/>
    <w:rsid w:val="004D64B6"/>
    <w:rsid w:val="004D6844"/>
    <w:rsid w:val="004D6DCA"/>
    <w:rsid w:val="004D7358"/>
    <w:rsid w:val="004E0609"/>
    <w:rsid w:val="004E0B99"/>
    <w:rsid w:val="004E0CCC"/>
    <w:rsid w:val="004E3E7A"/>
    <w:rsid w:val="004E5C84"/>
    <w:rsid w:val="004E5FFB"/>
    <w:rsid w:val="004E613C"/>
    <w:rsid w:val="004E61E3"/>
    <w:rsid w:val="004F0973"/>
    <w:rsid w:val="004F227A"/>
    <w:rsid w:val="004F2908"/>
    <w:rsid w:val="004F334D"/>
    <w:rsid w:val="004F4249"/>
    <w:rsid w:val="004F7437"/>
    <w:rsid w:val="004F785C"/>
    <w:rsid w:val="00500274"/>
    <w:rsid w:val="005003E7"/>
    <w:rsid w:val="0050049D"/>
    <w:rsid w:val="00501107"/>
    <w:rsid w:val="00502EAE"/>
    <w:rsid w:val="00503712"/>
    <w:rsid w:val="005051AF"/>
    <w:rsid w:val="0050576A"/>
    <w:rsid w:val="00507253"/>
    <w:rsid w:val="005073AD"/>
    <w:rsid w:val="0050788A"/>
    <w:rsid w:val="0051033F"/>
    <w:rsid w:val="00510AB7"/>
    <w:rsid w:val="00511CE4"/>
    <w:rsid w:val="005132E7"/>
    <w:rsid w:val="005134FE"/>
    <w:rsid w:val="0051431B"/>
    <w:rsid w:val="005145D4"/>
    <w:rsid w:val="00514A7F"/>
    <w:rsid w:val="00516E26"/>
    <w:rsid w:val="0051759E"/>
    <w:rsid w:val="00520FA2"/>
    <w:rsid w:val="00523000"/>
    <w:rsid w:val="00523840"/>
    <w:rsid w:val="00525D12"/>
    <w:rsid w:val="00527699"/>
    <w:rsid w:val="00531528"/>
    <w:rsid w:val="00535183"/>
    <w:rsid w:val="005414CE"/>
    <w:rsid w:val="00543C4C"/>
    <w:rsid w:val="00546FA7"/>
    <w:rsid w:val="00547C9A"/>
    <w:rsid w:val="00550D78"/>
    <w:rsid w:val="00551301"/>
    <w:rsid w:val="005535C9"/>
    <w:rsid w:val="0055698A"/>
    <w:rsid w:val="00556CCD"/>
    <w:rsid w:val="00556FB3"/>
    <w:rsid w:val="005576D0"/>
    <w:rsid w:val="00557E0E"/>
    <w:rsid w:val="00561B6E"/>
    <w:rsid w:val="005627B0"/>
    <w:rsid w:val="00563E46"/>
    <w:rsid w:val="00564060"/>
    <w:rsid w:val="005644C5"/>
    <w:rsid w:val="0056525C"/>
    <w:rsid w:val="005665BD"/>
    <w:rsid w:val="00567D0B"/>
    <w:rsid w:val="00570EFE"/>
    <w:rsid w:val="005746BC"/>
    <w:rsid w:val="00575429"/>
    <w:rsid w:val="00575ED8"/>
    <w:rsid w:val="00583A95"/>
    <w:rsid w:val="0058402F"/>
    <w:rsid w:val="00584D1B"/>
    <w:rsid w:val="00585497"/>
    <w:rsid w:val="00586A9B"/>
    <w:rsid w:val="00590076"/>
    <w:rsid w:val="005909C7"/>
    <w:rsid w:val="00592C7B"/>
    <w:rsid w:val="00593A07"/>
    <w:rsid w:val="0059433C"/>
    <w:rsid w:val="005949F5"/>
    <w:rsid w:val="005A0E3E"/>
    <w:rsid w:val="005A5AB2"/>
    <w:rsid w:val="005A5F16"/>
    <w:rsid w:val="005A6599"/>
    <w:rsid w:val="005B03B3"/>
    <w:rsid w:val="005B13F9"/>
    <w:rsid w:val="005B1B75"/>
    <w:rsid w:val="005B1ECD"/>
    <w:rsid w:val="005B210D"/>
    <w:rsid w:val="005B217E"/>
    <w:rsid w:val="005B57F1"/>
    <w:rsid w:val="005B5A08"/>
    <w:rsid w:val="005C0452"/>
    <w:rsid w:val="005C6D15"/>
    <w:rsid w:val="005C711F"/>
    <w:rsid w:val="005C73F1"/>
    <w:rsid w:val="005C7E5B"/>
    <w:rsid w:val="005D01D7"/>
    <w:rsid w:val="005D05AA"/>
    <w:rsid w:val="005D05C4"/>
    <w:rsid w:val="005D0ADB"/>
    <w:rsid w:val="005D21B5"/>
    <w:rsid w:val="005D516A"/>
    <w:rsid w:val="005D5E1A"/>
    <w:rsid w:val="005D5FAB"/>
    <w:rsid w:val="005D63BE"/>
    <w:rsid w:val="005D6FCA"/>
    <w:rsid w:val="005E07A6"/>
    <w:rsid w:val="005E0940"/>
    <w:rsid w:val="005E19FE"/>
    <w:rsid w:val="005E3678"/>
    <w:rsid w:val="005E453F"/>
    <w:rsid w:val="005E4578"/>
    <w:rsid w:val="005E4B42"/>
    <w:rsid w:val="005E52E9"/>
    <w:rsid w:val="005E6D26"/>
    <w:rsid w:val="005F2187"/>
    <w:rsid w:val="005F21AE"/>
    <w:rsid w:val="005F4521"/>
    <w:rsid w:val="005F4F00"/>
    <w:rsid w:val="005F6D09"/>
    <w:rsid w:val="006005A5"/>
    <w:rsid w:val="00601B62"/>
    <w:rsid w:val="00602444"/>
    <w:rsid w:val="00603482"/>
    <w:rsid w:val="006036CC"/>
    <w:rsid w:val="00605BEB"/>
    <w:rsid w:val="006072F0"/>
    <w:rsid w:val="006103F0"/>
    <w:rsid w:val="00610526"/>
    <w:rsid w:val="00610F6B"/>
    <w:rsid w:val="00611288"/>
    <w:rsid w:val="006124ED"/>
    <w:rsid w:val="00614327"/>
    <w:rsid w:val="00614469"/>
    <w:rsid w:val="00614641"/>
    <w:rsid w:val="00614D51"/>
    <w:rsid w:val="006161D2"/>
    <w:rsid w:val="006169CD"/>
    <w:rsid w:val="00616AD9"/>
    <w:rsid w:val="00616EFA"/>
    <w:rsid w:val="00617A73"/>
    <w:rsid w:val="00624A74"/>
    <w:rsid w:val="00624FE0"/>
    <w:rsid w:val="00625652"/>
    <w:rsid w:val="006271D7"/>
    <w:rsid w:val="00630C31"/>
    <w:rsid w:val="006311B4"/>
    <w:rsid w:val="00632C67"/>
    <w:rsid w:val="00634897"/>
    <w:rsid w:val="0063602D"/>
    <w:rsid w:val="00636BD9"/>
    <w:rsid w:val="00641034"/>
    <w:rsid w:val="006421E3"/>
    <w:rsid w:val="00642333"/>
    <w:rsid w:val="00642C74"/>
    <w:rsid w:val="00643F18"/>
    <w:rsid w:val="00644493"/>
    <w:rsid w:val="00645457"/>
    <w:rsid w:val="006472FD"/>
    <w:rsid w:val="00647327"/>
    <w:rsid w:val="00647472"/>
    <w:rsid w:val="00647630"/>
    <w:rsid w:val="00651C9B"/>
    <w:rsid w:val="00651D8E"/>
    <w:rsid w:val="00652A8B"/>
    <w:rsid w:val="00652C75"/>
    <w:rsid w:val="0065343B"/>
    <w:rsid w:val="006558A8"/>
    <w:rsid w:val="00656A67"/>
    <w:rsid w:val="00660D0E"/>
    <w:rsid w:val="00661013"/>
    <w:rsid w:val="00662780"/>
    <w:rsid w:val="006631AE"/>
    <w:rsid w:val="0066326C"/>
    <w:rsid w:val="0066343B"/>
    <w:rsid w:val="006642D8"/>
    <w:rsid w:val="00664772"/>
    <w:rsid w:val="00665087"/>
    <w:rsid w:val="00666669"/>
    <w:rsid w:val="006715E6"/>
    <w:rsid w:val="00672DEA"/>
    <w:rsid w:val="00674A04"/>
    <w:rsid w:val="0067709B"/>
    <w:rsid w:val="00677621"/>
    <w:rsid w:val="00677F93"/>
    <w:rsid w:val="006820C1"/>
    <w:rsid w:val="0068257F"/>
    <w:rsid w:val="00683742"/>
    <w:rsid w:val="006844C5"/>
    <w:rsid w:val="00685B13"/>
    <w:rsid w:val="006872DA"/>
    <w:rsid w:val="00687DE9"/>
    <w:rsid w:val="006903FC"/>
    <w:rsid w:val="00691079"/>
    <w:rsid w:val="006911CC"/>
    <w:rsid w:val="00691F62"/>
    <w:rsid w:val="00692B97"/>
    <w:rsid w:val="006940A8"/>
    <w:rsid w:val="006948D1"/>
    <w:rsid w:val="00696CA4"/>
    <w:rsid w:val="00697771"/>
    <w:rsid w:val="006A016B"/>
    <w:rsid w:val="006A1394"/>
    <w:rsid w:val="006A145F"/>
    <w:rsid w:val="006A2003"/>
    <w:rsid w:val="006A3096"/>
    <w:rsid w:val="006A3326"/>
    <w:rsid w:val="006A3CB2"/>
    <w:rsid w:val="006A4A77"/>
    <w:rsid w:val="006A64C6"/>
    <w:rsid w:val="006A66FB"/>
    <w:rsid w:val="006A69AD"/>
    <w:rsid w:val="006A7489"/>
    <w:rsid w:val="006B27A7"/>
    <w:rsid w:val="006B27C5"/>
    <w:rsid w:val="006B4047"/>
    <w:rsid w:val="006B4C3D"/>
    <w:rsid w:val="006B5281"/>
    <w:rsid w:val="006B690C"/>
    <w:rsid w:val="006B7740"/>
    <w:rsid w:val="006B7984"/>
    <w:rsid w:val="006C274A"/>
    <w:rsid w:val="006C3177"/>
    <w:rsid w:val="006C3C3C"/>
    <w:rsid w:val="006C4578"/>
    <w:rsid w:val="006C5ADA"/>
    <w:rsid w:val="006C5C0F"/>
    <w:rsid w:val="006D17E1"/>
    <w:rsid w:val="006D4855"/>
    <w:rsid w:val="006D48CA"/>
    <w:rsid w:val="006D7EB5"/>
    <w:rsid w:val="006E0DA5"/>
    <w:rsid w:val="006E1F23"/>
    <w:rsid w:val="006E380E"/>
    <w:rsid w:val="006E5A5E"/>
    <w:rsid w:val="006E618B"/>
    <w:rsid w:val="006E6406"/>
    <w:rsid w:val="006F0283"/>
    <w:rsid w:val="006F19E9"/>
    <w:rsid w:val="006F206C"/>
    <w:rsid w:val="006F2728"/>
    <w:rsid w:val="006F2E53"/>
    <w:rsid w:val="006F530A"/>
    <w:rsid w:val="0070129F"/>
    <w:rsid w:val="00701A60"/>
    <w:rsid w:val="00701C1B"/>
    <w:rsid w:val="00701CAA"/>
    <w:rsid w:val="00701E85"/>
    <w:rsid w:val="007037D5"/>
    <w:rsid w:val="00704D19"/>
    <w:rsid w:val="007056FD"/>
    <w:rsid w:val="007075C3"/>
    <w:rsid w:val="00707759"/>
    <w:rsid w:val="00711168"/>
    <w:rsid w:val="007112AD"/>
    <w:rsid w:val="0071245B"/>
    <w:rsid w:val="00712BA8"/>
    <w:rsid w:val="00712C71"/>
    <w:rsid w:val="00712E47"/>
    <w:rsid w:val="0071370D"/>
    <w:rsid w:val="00713DEF"/>
    <w:rsid w:val="00713FEE"/>
    <w:rsid w:val="00715CFA"/>
    <w:rsid w:val="007173C4"/>
    <w:rsid w:val="00717C98"/>
    <w:rsid w:val="00720F8B"/>
    <w:rsid w:val="00721DE0"/>
    <w:rsid w:val="007246F0"/>
    <w:rsid w:val="00724CB5"/>
    <w:rsid w:val="007278BE"/>
    <w:rsid w:val="00727C1C"/>
    <w:rsid w:val="007304E7"/>
    <w:rsid w:val="007308DE"/>
    <w:rsid w:val="00730ED8"/>
    <w:rsid w:val="00734103"/>
    <w:rsid w:val="00734223"/>
    <w:rsid w:val="00735DA2"/>
    <w:rsid w:val="00736596"/>
    <w:rsid w:val="00736EDA"/>
    <w:rsid w:val="00743995"/>
    <w:rsid w:val="00744761"/>
    <w:rsid w:val="00744C5C"/>
    <w:rsid w:val="0074598F"/>
    <w:rsid w:val="00745A25"/>
    <w:rsid w:val="00746243"/>
    <w:rsid w:val="007474E6"/>
    <w:rsid w:val="00753368"/>
    <w:rsid w:val="007535FF"/>
    <w:rsid w:val="00754274"/>
    <w:rsid w:val="00755F32"/>
    <w:rsid w:val="00756F54"/>
    <w:rsid w:val="007578A8"/>
    <w:rsid w:val="00762481"/>
    <w:rsid w:val="00765A6A"/>
    <w:rsid w:val="007660C9"/>
    <w:rsid w:val="007677F0"/>
    <w:rsid w:val="00770070"/>
    <w:rsid w:val="00770AD7"/>
    <w:rsid w:val="00770E8B"/>
    <w:rsid w:val="00771268"/>
    <w:rsid w:val="00771D37"/>
    <w:rsid w:val="0077213F"/>
    <w:rsid w:val="00772780"/>
    <w:rsid w:val="00775E03"/>
    <w:rsid w:val="007762C4"/>
    <w:rsid w:val="0078086E"/>
    <w:rsid w:val="00780A0F"/>
    <w:rsid w:val="00780FA5"/>
    <w:rsid w:val="007822AF"/>
    <w:rsid w:val="00784397"/>
    <w:rsid w:val="00785B7E"/>
    <w:rsid w:val="00786D1B"/>
    <w:rsid w:val="00786D45"/>
    <w:rsid w:val="007873C0"/>
    <w:rsid w:val="0079145A"/>
    <w:rsid w:val="00791AFC"/>
    <w:rsid w:val="007925B9"/>
    <w:rsid w:val="00796EC4"/>
    <w:rsid w:val="007976BE"/>
    <w:rsid w:val="007A22F4"/>
    <w:rsid w:val="007A3B1F"/>
    <w:rsid w:val="007A627B"/>
    <w:rsid w:val="007A6558"/>
    <w:rsid w:val="007B10D6"/>
    <w:rsid w:val="007B29F1"/>
    <w:rsid w:val="007B364B"/>
    <w:rsid w:val="007B49DA"/>
    <w:rsid w:val="007C2320"/>
    <w:rsid w:val="007C3597"/>
    <w:rsid w:val="007C433B"/>
    <w:rsid w:val="007C4883"/>
    <w:rsid w:val="007C5242"/>
    <w:rsid w:val="007C5965"/>
    <w:rsid w:val="007C7D17"/>
    <w:rsid w:val="007D0AAA"/>
    <w:rsid w:val="007D1358"/>
    <w:rsid w:val="007D532C"/>
    <w:rsid w:val="007D55A6"/>
    <w:rsid w:val="007D60D1"/>
    <w:rsid w:val="007D71D8"/>
    <w:rsid w:val="007E2719"/>
    <w:rsid w:val="007E2976"/>
    <w:rsid w:val="007E378A"/>
    <w:rsid w:val="007E3B49"/>
    <w:rsid w:val="007E3B6B"/>
    <w:rsid w:val="007E3C82"/>
    <w:rsid w:val="007E4E1A"/>
    <w:rsid w:val="007E5413"/>
    <w:rsid w:val="007E7E6D"/>
    <w:rsid w:val="007F2AA2"/>
    <w:rsid w:val="007F3054"/>
    <w:rsid w:val="007F55D7"/>
    <w:rsid w:val="007F5B62"/>
    <w:rsid w:val="007F71F4"/>
    <w:rsid w:val="0080026F"/>
    <w:rsid w:val="008051B2"/>
    <w:rsid w:val="00805580"/>
    <w:rsid w:val="00805E20"/>
    <w:rsid w:val="00807144"/>
    <w:rsid w:val="008113FE"/>
    <w:rsid w:val="008116F3"/>
    <w:rsid w:val="00811B38"/>
    <w:rsid w:val="00812059"/>
    <w:rsid w:val="0081407B"/>
    <w:rsid w:val="00820459"/>
    <w:rsid w:val="00820650"/>
    <w:rsid w:val="00820C3C"/>
    <w:rsid w:val="00821668"/>
    <w:rsid w:val="0082238D"/>
    <w:rsid w:val="00822A58"/>
    <w:rsid w:val="00823268"/>
    <w:rsid w:val="00823A8A"/>
    <w:rsid w:val="008248BF"/>
    <w:rsid w:val="00824A53"/>
    <w:rsid w:val="00825E36"/>
    <w:rsid w:val="00830392"/>
    <w:rsid w:val="00831A2E"/>
    <w:rsid w:val="00831D21"/>
    <w:rsid w:val="0083238D"/>
    <w:rsid w:val="00835D7B"/>
    <w:rsid w:val="008363A8"/>
    <w:rsid w:val="00836FE0"/>
    <w:rsid w:val="00837687"/>
    <w:rsid w:val="00840009"/>
    <w:rsid w:val="00840281"/>
    <w:rsid w:val="00841B89"/>
    <w:rsid w:val="00843FC1"/>
    <w:rsid w:val="00844EFB"/>
    <w:rsid w:val="00845EEA"/>
    <w:rsid w:val="00846C86"/>
    <w:rsid w:val="008475FA"/>
    <w:rsid w:val="00850D89"/>
    <w:rsid w:val="00852676"/>
    <w:rsid w:val="00852F75"/>
    <w:rsid w:val="008556CA"/>
    <w:rsid w:val="00856868"/>
    <w:rsid w:val="00857D34"/>
    <w:rsid w:val="00865F9D"/>
    <w:rsid w:val="00867284"/>
    <w:rsid w:val="00871B1E"/>
    <w:rsid w:val="00872EA8"/>
    <w:rsid w:val="008749BD"/>
    <w:rsid w:val="00875716"/>
    <w:rsid w:val="008805F5"/>
    <w:rsid w:val="0088060D"/>
    <w:rsid w:val="00881BAD"/>
    <w:rsid w:val="008862AE"/>
    <w:rsid w:val="0088658E"/>
    <w:rsid w:val="008868C7"/>
    <w:rsid w:val="00886E09"/>
    <w:rsid w:val="00887048"/>
    <w:rsid w:val="008912BF"/>
    <w:rsid w:val="00891C7A"/>
    <w:rsid w:val="00892766"/>
    <w:rsid w:val="00893056"/>
    <w:rsid w:val="00893C4E"/>
    <w:rsid w:val="00893D6D"/>
    <w:rsid w:val="00893F4C"/>
    <w:rsid w:val="008952B5"/>
    <w:rsid w:val="00895C00"/>
    <w:rsid w:val="00897065"/>
    <w:rsid w:val="008972F1"/>
    <w:rsid w:val="008A0E36"/>
    <w:rsid w:val="008A11FA"/>
    <w:rsid w:val="008A1C50"/>
    <w:rsid w:val="008A2804"/>
    <w:rsid w:val="008A2D49"/>
    <w:rsid w:val="008A5397"/>
    <w:rsid w:val="008A625B"/>
    <w:rsid w:val="008B0093"/>
    <w:rsid w:val="008B0D78"/>
    <w:rsid w:val="008B1E00"/>
    <w:rsid w:val="008B3C55"/>
    <w:rsid w:val="008B422D"/>
    <w:rsid w:val="008B4285"/>
    <w:rsid w:val="008B4951"/>
    <w:rsid w:val="008B5F9B"/>
    <w:rsid w:val="008B77DE"/>
    <w:rsid w:val="008C06EA"/>
    <w:rsid w:val="008C077C"/>
    <w:rsid w:val="008C0E41"/>
    <w:rsid w:val="008C33E0"/>
    <w:rsid w:val="008C3B6B"/>
    <w:rsid w:val="008C46AC"/>
    <w:rsid w:val="008C720E"/>
    <w:rsid w:val="008C7B78"/>
    <w:rsid w:val="008C7EAB"/>
    <w:rsid w:val="008D1386"/>
    <w:rsid w:val="008D4319"/>
    <w:rsid w:val="008D5510"/>
    <w:rsid w:val="008D669C"/>
    <w:rsid w:val="008E298C"/>
    <w:rsid w:val="008E2A13"/>
    <w:rsid w:val="008E3301"/>
    <w:rsid w:val="008E331E"/>
    <w:rsid w:val="008E4205"/>
    <w:rsid w:val="008E43ED"/>
    <w:rsid w:val="008E515C"/>
    <w:rsid w:val="008E5691"/>
    <w:rsid w:val="008E635B"/>
    <w:rsid w:val="008E774D"/>
    <w:rsid w:val="008E77B6"/>
    <w:rsid w:val="008F1C12"/>
    <w:rsid w:val="008F202B"/>
    <w:rsid w:val="008F40EE"/>
    <w:rsid w:val="008F44D5"/>
    <w:rsid w:val="008F4A98"/>
    <w:rsid w:val="008F58DC"/>
    <w:rsid w:val="008F7BED"/>
    <w:rsid w:val="008F7D5A"/>
    <w:rsid w:val="009019DD"/>
    <w:rsid w:val="00901EBC"/>
    <w:rsid w:val="00903E73"/>
    <w:rsid w:val="00904716"/>
    <w:rsid w:val="00904B40"/>
    <w:rsid w:val="0090666D"/>
    <w:rsid w:val="009102DD"/>
    <w:rsid w:val="00911E18"/>
    <w:rsid w:val="00915B29"/>
    <w:rsid w:val="009177CA"/>
    <w:rsid w:val="00920815"/>
    <w:rsid w:val="00920DCA"/>
    <w:rsid w:val="00921720"/>
    <w:rsid w:val="00921BCC"/>
    <w:rsid w:val="00923506"/>
    <w:rsid w:val="00923770"/>
    <w:rsid w:val="009256BD"/>
    <w:rsid w:val="00932364"/>
    <w:rsid w:val="00932B75"/>
    <w:rsid w:val="00933155"/>
    <w:rsid w:val="009349DC"/>
    <w:rsid w:val="00934D9B"/>
    <w:rsid w:val="00937AC8"/>
    <w:rsid w:val="00937CA9"/>
    <w:rsid w:val="00940588"/>
    <w:rsid w:val="0094102F"/>
    <w:rsid w:val="00941592"/>
    <w:rsid w:val="00941C8E"/>
    <w:rsid w:val="00941DF0"/>
    <w:rsid w:val="009425E4"/>
    <w:rsid w:val="0094275D"/>
    <w:rsid w:val="009432C7"/>
    <w:rsid w:val="009453C7"/>
    <w:rsid w:val="00947C90"/>
    <w:rsid w:val="00950188"/>
    <w:rsid w:val="00951F7C"/>
    <w:rsid w:val="009523CE"/>
    <w:rsid w:val="009524C8"/>
    <w:rsid w:val="009535A7"/>
    <w:rsid w:val="00953AB2"/>
    <w:rsid w:val="009546E8"/>
    <w:rsid w:val="009563F9"/>
    <w:rsid w:val="00970866"/>
    <w:rsid w:val="0097184C"/>
    <w:rsid w:val="00971B8A"/>
    <w:rsid w:val="009725D4"/>
    <w:rsid w:val="00973D04"/>
    <w:rsid w:val="00976EA2"/>
    <w:rsid w:val="009778C5"/>
    <w:rsid w:val="0098147B"/>
    <w:rsid w:val="00981BC9"/>
    <w:rsid w:val="00982910"/>
    <w:rsid w:val="009841B2"/>
    <w:rsid w:val="0098436F"/>
    <w:rsid w:val="009849EA"/>
    <w:rsid w:val="00984A41"/>
    <w:rsid w:val="0098584B"/>
    <w:rsid w:val="009858F4"/>
    <w:rsid w:val="00985F1A"/>
    <w:rsid w:val="009862E4"/>
    <w:rsid w:val="009909C0"/>
    <w:rsid w:val="00990A30"/>
    <w:rsid w:val="00990F08"/>
    <w:rsid w:val="00992463"/>
    <w:rsid w:val="00993FB0"/>
    <w:rsid w:val="00995F74"/>
    <w:rsid w:val="00996560"/>
    <w:rsid w:val="0099699D"/>
    <w:rsid w:val="009969E6"/>
    <w:rsid w:val="00997DE1"/>
    <w:rsid w:val="009A0ED6"/>
    <w:rsid w:val="009A1AAB"/>
    <w:rsid w:val="009A2886"/>
    <w:rsid w:val="009A2A6D"/>
    <w:rsid w:val="009A3761"/>
    <w:rsid w:val="009A411A"/>
    <w:rsid w:val="009A4A04"/>
    <w:rsid w:val="009A6E26"/>
    <w:rsid w:val="009A7C27"/>
    <w:rsid w:val="009B04A5"/>
    <w:rsid w:val="009B7138"/>
    <w:rsid w:val="009B7D32"/>
    <w:rsid w:val="009C20EE"/>
    <w:rsid w:val="009C2215"/>
    <w:rsid w:val="009C2DCC"/>
    <w:rsid w:val="009C5459"/>
    <w:rsid w:val="009C58CD"/>
    <w:rsid w:val="009C657B"/>
    <w:rsid w:val="009C7B32"/>
    <w:rsid w:val="009D0A08"/>
    <w:rsid w:val="009D1075"/>
    <w:rsid w:val="009D18E1"/>
    <w:rsid w:val="009D1B9E"/>
    <w:rsid w:val="009D2562"/>
    <w:rsid w:val="009D2B5F"/>
    <w:rsid w:val="009D2F10"/>
    <w:rsid w:val="009D363C"/>
    <w:rsid w:val="009D374F"/>
    <w:rsid w:val="009D41EC"/>
    <w:rsid w:val="009D4781"/>
    <w:rsid w:val="009D47CC"/>
    <w:rsid w:val="009D4848"/>
    <w:rsid w:val="009D4B9D"/>
    <w:rsid w:val="009D528F"/>
    <w:rsid w:val="009D52D9"/>
    <w:rsid w:val="009D6D63"/>
    <w:rsid w:val="009D7AB7"/>
    <w:rsid w:val="009D7DE3"/>
    <w:rsid w:val="009E237B"/>
    <w:rsid w:val="009E2D21"/>
    <w:rsid w:val="009E2DF9"/>
    <w:rsid w:val="009E4248"/>
    <w:rsid w:val="009E444D"/>
    <w:rsid w:val="009E4E52"/>
    <w:rsid w:val="009E7934"/>
    <w:rsid w:val="009F1FDB"/>
    <w:rsid w:val="009F32CD"/>
    <w:rsid w:val="009F3BD4"/>
    <w:rsid w:val="009F47E2"/>
    <w:rsid w:val="009F4D26"/>
    <w:rsid w:val="009F4F8B"/>
    <w:rsid w:val="009F54D5"/>
    <w:rsid w:val="009F6C06"/>
    <w:rsid w:val="00A01676"/>
    <w:rsid w:val="00A028D1"/>
    <w:rsid w:val="00A031FE"/>
    <w:rsid w:val="00A03468"/>
    <w:rsid w:val="00A06406"/>
    <w:rsid w:val="00A07360"/>
    <w:rsid w:val="00A07CB2"/>
    <w:rsid w:val="00A10A3E"/>
    <w:rsid w:val="00A11576"/>
    <w:rsid w:val="00A12E0C"/>
    <w:rsid w:val="00A13771"/>
    <w:rsid w:val="00A14747"/>
    <w:rsid w:val="00A17660"/>
    <w:rsid w:val="00A17FAB"/>
    <w:rsid w:val="00A212EF"/>
    <w:rsid w:val="00A2282E"/>
    <w:rsid w:val="00A23992"/>
    <w:rsid w:val="00A2535D"/>
    <w:rsid w:val="00A259B8"/>
    <w:rsid w:val="00A30479"/>
    <w:rsid w:val="00A31D56"/>
    <w:rsid w:val="00A321EC"/>
    <w:rsid w:val="00A3371B"/>
    <w:rsid w:val="00A33EC5"/>
    <w:rsid w:val="00A341AD"/>
    <w:rsid w:val="00A34A53"/>
    <w:rsid w:val="00A34A7C"/>
    <w:rsid w:val="00A34E76"/>
    <w:rsid w:val="00A35317"/>
    <w:rsid w:val="00A367C7"/>
    <w:rsid w:val="00A36950"/>
    <w:rsid w:val="00A40051"/>
    <w:rsid w:val="00A40D51"/>
    <w:rsid w:val="00A420E8"/>
    <w:rsid w:val="00A42F85"/>
    <w:rsid w:val="00A4472F"/>
    <w:rsid w:val="00A456F1"/>
    <w:rsid w:val="00A4735F"/>
    <w:rsid w:val="00A47E6A"/>
    <w:rsid w:val="00A535FB"/>
    <w:rsid w:val="00A55B8A"/>
    <w:rsid w:val="00A561C9"/>
    <w:rsid w:val="00A619E8"/>
    <w:rsid w:val="00A62513"/>
    <w:rsid w:val="00A6262E"/>
    <w:rsid w:val="00A626AE"/>
    <w:rsid w:val="00A638AD"/>
    <w:rsid w:val="00A63EF5"/>
    <w:rsid w:val="00A647E7"/>
    <w:rsid w:val="00A6623C"/>
    <w:rsid w:val="00A7104A"/>
    <w:rsid w:val="00A716B2"/>
    <w:rsid w:val="00A71B14"/>
    <w:rsid w:val="00A73030"/>
    <w:rsid w:val="00A7353B"/>
    <w:rsid w:val="00A756ED"/>
    <w:rsid w:val="00A75917"/>
    <w:rsid w:val="00A7651B"/>
    <w:rsid w:val="00A8006C"/>
    <w:rsid w:val="00A813BF"/>
    <w:rsid w:val="00A81A9D"/>
    <w:rsid w:val="00A82832"/>
    <w:rsid w:val="00A836F6"/>
    <w:rsid w:val="00A8461D"/>
    <w:rsid w:val="00A85B40"/>
    <w:rsid w:val="00A85EA8"/>
    <w:rsid w:val="00A868FB"/>
    <w:rsid w:val="00A8791D"/>
    <w:rsid w:val="00A901B9"/>
    <w:rsid w:val="00A910E0"/>
    <w:rsid w:val="00A91D2C"/>
    <w:rsid w:val="00A9222E"/>
    <w:rsid w:val="00A94F32"/>
    <w:rsid w:val="00A95098"/>
    <w:rsid w:val="00A95B4C"/>
    <w:rsid w:val="00A96897"/>
    <w:rsid w:val="00A97373"/>
    <w:rsid w:val="00A97C75"/>
    <w:rsid w:val="00A97CF7"/>
    <w:rsid w:val="00AA0990"/>
    <w:rsid w:val="00AA2536"/>
    <w:rsid w:val="00AA2604"/>
    <w:rsid w:val="00AA27CD"/>
    <w:rsid w:val="00AA2859"/>
    <w:rsid w:val="00AA4EC2"/>
    <w:rsid w:val="00AA519B"/>
    <w:rsid w:val="00AB0420"/>
    <w:rsid w:val="00AB12B1"/>
    <w:rsid w:val="00AB2509"/>
    <w:rsid w:val="00AB2760"/>
    <w:rsid w:val="00AB2AD6"/>
    <w:rsid w:val="00AB39C8"/>
    <w:rsid w:val="00AB44A8"/>
    <w:rsid w:val="00AB4F71"/>
    <w:rsid w:val="00AB6C3C"/>
    <w:rsid w:val="00AC0318"/>
    <w:rsid w:val="00AC16DC"/>
    <w:rsid w:val="00AC343E"/>
    <w:rsid w:val="00AC55A1"/>
    <w:rsid w:val="00AC6A58"/>
    <w:rsid w:val="00AD0048"/>
    <w:rsid w:val="00AD0307"/>
    <w:rsid w:val="00AD04D9"/>
    <w:rsid w:val="00AD1BAE"/>
    <w:rsid w:val="00AD1C25"/>
    <w:rsid w:val="00AD73E8"/>
    <w:rsid w:val="00AD771E"/>
    <w:rsid w:val="00AD7CB6"/>
    <w:rsid w:val="00AE2475"/>
    <w:rsid w:val="00AE4280"/>
    <w:rsid w:val="00AE4C4D"/>
    <w:rsid w:val="00AE4E67"/>
    <w:rsid w:val="00AE502F"/>
    <w:rsid w:val="00AE53D5"/>
    <w:rsid w:val="00AE62B3"/>
    <w:rsid w:val="00AE6B1C"/>
    <w:rsid w:val="00AE71D4"/>
    <w:rsid w:val="00AE7BE7"/>
    <w:rsid w:val="00AF33E4"/>
    <w:rsid w:val="00AF3B6C"/>
    <w:rsid w:val="00AF40C3"/>
    <w:rsid w:val="00AF4EF2"/>
    <w:rsid w:val="00AF6BBC"/>
    <w:rsid w:val="00AF7269"/>
    <w:rsid w:val="00AF7639"/>
    <w:rsid w:val="00B0169E"/>
    <w:rsid w:val="00B01AA5"/>
    <w:rsid w:val="00B02386"/>
    <w:rsid w:val="00B02A4F"/>
    <w:rsid w:val="00B04EEC"/>
    <w:rsid w:val="00B12121"/>
    <w:rsid w:val="00B14362"/>
    <w:rsid w:val="00B14EEB"/>
    <w:rsid w:val="00B16A6D"/>
    <w:rsid w:val="00B17C95"/>
    <w:rsid w:val="00B211E2"/>
    <w:rsid w:val="00B21B5F"/>
    <w:rsid w:val="00B21F88"/>
    <w:rsid w:val="00B225C4"/>
    <w:rsid w:val="00B22647"/>
    <w:rsid w:val="00B234E5"/>
    <w:rsid w:val="00B24397"/>
    <w:rsid w:val="00B252A3"/>
    <w:rsid w:val="00B25352"/>
    <w:rsid w:val="00B25A92"/>
    <w:rsid w:val="00B2698C"/>
    <w:rsid w:val="00B269D0"/>
    <w:rsid w:val="00B27CAC"/>
    <w:rsid w:val="00B30D87"/>
    <w:rsid w:val="00B315BB"/>
    <w:rsid w:val="00B33424"/>
    <w:rsid w:val="00B33EB6"/>
    <w:rsid w:val="00B34581"/>
    <w:rsid w:val="00B346D2"/>
    <w:rsid w:val="00B34FBC"/>
    <w:rsid w:val="00B3615C"/>
    <w:rsid w:val="00B364A1"/>
    <w:rsid w:val="00B36DBA"/>
    <w:rsid w:val="00B40350"/>
    <w:rsid w:val="00B404B1"/>
    <w:rsid w:val="00B40731"/>
    <w:rsid w:val="00B41C12"/>
    <w:rsid w:val="00B4290E"/>
    <w:rsid w:val="00B438C9"/>
    <w:rsid w:val="00B43E97"/>
    <w:rsid w:val="00B43F61"/>
    <w:rsid w:val="00B43FE7"/>
    <w:rsid w:val="00B45904"/>
    <w:rsid w:val="00B45B72"/>
    <w:rsid w:val="00B45E55"/>
    <w:rsid w:val="00B46263"/>
    <w:rsid w:val="00B46904"/>
    <w:rsid w:val="00B46FED"/>
    <w:rsid w:val="00B52592"/>
    <w:rsid w:val="00B529BF"/>
    <w:rsid w:val="00B5328F"/>
    <w:rsid w:val="00B5412A"/>
    <w:rsid w:val="00B54669"/>
    <w:rsid w:val="00B55D8F"/>
    <w:rsid w:val="00B56EDD"/>
    <w:rsid w:val="00B57C43"/>
    <w:rsid w:val="00B600C5"/>
    <w:rsid w:val="00B62C4B"/>
    <w:rsid w:val="00B63049"/>
    <w:rsid w:val="00B632DD"/>
    <w:rsid w:val="00B658AF"/>
    <w:rsid w:val="00B662EB"/>
    <w:rsid w:val="00B66BEF"/>
    <w:rsid w:val="00B66CE1"/>
    <w:rsid w:val="00B66F22"/>
    <w:rsid w:val="00B6729C"/>
    <w:rsid w:val="00B73380"/>
    <w:rsid w:val="00B74043"/>
    <w:rsid w:val="00B74F91"/>
    <w:rsid w:val="00B764B4"/>
    <w:rsid w:val="00B76CD9"/>
    <w:rsid w:val="00B80B87"/>
    <w:rsid w:val="00B8303A"/>
    <w:rsid w:val="00B834B7"/>
    <w:rsid w:val="00B83F93"/>
    <w:rsid w:val="00B87D2B"/>
    <w:rsid w:val="00B90DCA"/>
    <w:rsid w:val="00B94328"/>
    <w:rsid w:val="00B943E9"/>
    <w:rsid w:val="00BA0F52"/>
    <w:rsid w:val="00BA23C6"/>
    <w:rsid w:val="00BA299A"/>
    <w:rsid w:val="00BA51DA"/>
    <w:rsid w:val="00BA71D2"/>
    <w:rsid w:val="00BB02CC"/>
    <w:rsid w:val="00BB03A3"/>
    <w:rsid w:val="00BB13DC"/>
    <w:rsid w:val="00BB35F4"/>
    <w:rsid w:val="00BB45D7"/>
    <w:rsid w:val="00BB5A23"/>
    <w:rsid w:val="00BB7797"/>
    <w:rsid w:val="00BC16C8"/>
    <w:rsid w:val="00BC2CC3"/>
    <w:rsid w:val="00BC350C"/>
    <w:rsid w:val="00BC5DAA"/>
    <w:rsid w:val="00BC63A0"/>
    <w:rsid w:val="00BC7A73"/>
    <w:rsid w:val="00BD0993"/>
    <w:rsid w:val="00BD2547"/>
    <w:rsid w:val="00BD3737"/>
    <w:rsid w:val="00BD4CDE"/>
    <w:rsid w:val="00BD6CB3"/>
    <w:rsid w:val="00BD6D93"/>
    <w:rsid w:val="00BD6FA8"/>
    <w:rsid w:val="00BE1C52"/>
    <w:rsid w:val="00BE3839"/>
    <w:rsid w:val="00BF0408"/>
    <w:rsid w:val="00BF4506"/>
    <w:rsid w:val="00BF5048"/>
    <w:rsid w:val="00BF50B9"/>
    <w:rsid w:val="00BF5CCA"/>
    <w:rsid w:val="00BF5DB5"/>
    <w:rsid w:val="00BF6365"/>
    <w:rsid w:val="00BF6B0D"/>
    <w:rsid w:val="00BF6E73"/>
    <w:rsid w:val="00BF70D8"/>
    <w:rsid w:val="00BF7233"/>
    <w:rsid w:val="00C033F1"/>
    <w:rsid w:val="00C03768"/>
    <w:rsid w:val="00C04EF1"/>
    <w:rsid w:val="00C069AC"/>
    <w:rsid w:val="00C06D3F"/>
    <w:rsid w:val="00C07B6E"/>
    <w:rsid w:val="00C07D0E"/>
    <w:rsid w:val="00C1185E"/>
    <w:rsid w:val="00C12503"/>
    <w:rsid w:val="00C13B24"/>
    <w:rsid w:val="00C147CC"/>
    <w:rsid w:val="00C212EB"/>
    <w:rsid w:val="00C224CA"/>
    <w:rsid w:val="00C2253E"/>
    <w:rsid w:val="00C23089"/>
    <w:rsid w:val="00C23877"/>
    <w:rsid w:val="00C24937"/>
    <w:rsid w:val="00C25073"/>
    <w:rsid w:val="00C25F03"/>
    <w:rsid w:val="00C26510"/>
    <w:rsid w:val="00C266D0"/>
    <w:rsid w:val="00C2692B"/>
    <w:rsid w:val="00C270EE"/>
    <w:rsid w:val="00C27F41"/>
    <w:rsid w:val="00C301CA"/>
    <w:rsid w:val="00C30817"/>
    <w:rsid w:val="00C308A7"/>
    <w:rsid w:val="00C309E0"/>
    <w:rsid w:val="00C33164"/>
    <w:rsid w:val="00C33AC7"/>
    <w:rsid w:val="00C33BC9"/>
    <w:rsid w:val="00C34EF5"/>
    <w:rsid w:val="00C36A11"/>
    <w:rsid w:val="00C3719C"/>
    <w:rsid w:val="00C404D1"/>
    <w:rsid w:val="00C417EC"/>
    <w:rsid w:val="00C42F5C"/>
    <w:rsid w:val="00C46F58"/>
    <w:rsid w:val="00C47514"/>
    <w:rsid w:val="00C47EB5"/>
    <w:rsid w:val="00C50235"/>
    <w:rsid w:val="00C514CF"/>
    <w:rsid w:val="00C52A71"/>
    <w:rsid w:val="00C5320D"/>
    <w:rsid w:val="00C5344A"/>
    <w:rsid w:val="00C53FC0"/>
    <w:rsid w:val="00C56803"/>
    <w:rsid w:val="00C5720F"/>
    <w:rsid w:val="00C61B02"/>
    <w:rsid w:val="00C63237"/>
    <w:rsid w:val="00C6790E"/>
    <w:rsid w:val="00C70733"/>
    <w:rsid w:val="00C72E44"/>
    <w:rsid w:val="00C76469"/>
    <w:rsid w:val="00C77BE9"/>
    <w:rsid w:val="00C80C2A"/>
    <w:rsid w:val="00C82E49"/>
    <w:rsid w:val="00C83A84"/>
    <w:rsid w:val="00C83DEB"/>
    <w:rsid w:val="00C84DFD"/>
    <w:rsid w:val="00C8541C"/>
    <w:rsid w:val="00C86003"/>
    <w:rsid w:val="00C86ABC"/>
    <w:rsid w:val="00C86D9B"/>
    <w:rsid w:val="00C86EE1"/>
    <w:rsid w:val="00C871C3"/>
    <w:rsid w:val="00C90729"/>
    <w:rsid w:val="00C91293"/>
    <w:rsid w:val="00C92701"/>
    <w:rsid w:val="00C930EB"/>
    <w:rsid w:val="00C94497"/>
    <w:rsid w:val="00C94768"/>
    <w:rsid w:val="00C95A63"/>
    <w:rsid w:val="00C96C5B"/>
    <w:rsid w:val="00C9756F"/>
    <w:rsid w:val="00CA00F8"/>
    <w:rsid w:val="00CA0428"/>
    <w:rsid w:val="00CA14D4"/>
    <w:rsid w:val="00CA78B5"/>
    <w:rsid w:val="00CA7A87"/>
    <w:rsid w:val="00CB0B54"/>
    <w:rsid w:val="00CB218B"/>
    <w:rsid w:val="00CB368E"/>
    <w:rsid w:val="00CB39CD"/>
    <w:rsid w:val="00CB455C"/>
    <w:rsid w:val="00CB7291"/>
    <w:rsid w:val="00CC16AB"/>
    <w:rsid w:val="00CC29D7"/>
    <w:rsid w:val="00CC47C8"/>
    <w:rsid w:val="00CC62F4"/>
    <w:rsid w:val="00CC7D3C"/>
    <w:rsid w:val="00CD0F3F"/>
    <w:rsid w:val="00CD16BB"/>
    <w:rsid w:val="00CD3D24"/>
    <w:rsid w:val="00CD4292"/>
    <w:rsid w:val="00CD47E9"/>
    <w:rsid w:val="00CD4B91"/>
    <w:rsid w:val="00CD6EF8"/>
    <w:rsid w:val="00CD7511"/>
    <w:rsid w:val="00CE0B54"/>
    <w:rsid w:val="00CE1D25"/>
    <w:rsid w:val="00CE1EE5"/>
    <w:rsid w:val="00CE23A3"/>
    <w:rsid w:val="00CE2CE0"/>
    <w:rsid w:val="00CE377E"/>
    <w:rsid w:val="00CE3A64"/>
    <w:rsid w:val="00CE3B3A"/>
    <w:rsid w:val="00CE3CDF"/>
    <w:rsid w:val="00CE3DF8"/>
    <w:rsid w:val="00CE5DC4"/>
    <w:rsid w:val="00CE6249"/>
    <w:rsid w:val="00CE7B58"/>
    <w:rsid w:val="00CF10A1"/>
    <w:rsid w:val="00CF21FC"/>
    <w:rsid w:val="00CF3609"/>
    <w:rsid w:val="00CF4990"/>
    <w:rsid w:val="00CF75CC"/>
    <w:rsid w:val="00CF7A26"/>
    <w:rsid w:val="00CF7EF8"/>
    <w:rsid w:val="00D01871"/>
    <w:rsid w:val="00D01ED7"/>
    <w:rsid w:val="00D07FE8"/>
    <w:rsid w:val="00D110A6"/>
    <w:rsid w:val="00D1115C"/>
    <w:rsid w:val="00D12BB2"/>
    <w:rsid w:val="00D13AC6"/>
    <w:rsid w:val="00D140D5"/>
    <w:rsid w:val="00D1600B"/>
    <w:rsid w:val="00D178EE"/>
    <w:rsid w:val="00D20470"/>
    <w:rsid w:val="00D2058C"/>
    <w:rsid w:val="00D21374"/>
    <w:rsid w:val="00D21E24"/>
    <w:rsid w:val="00D22BEC"/>
    <w:rsid w:val="00D2470C"/>
    <w:rsid w:val="00D25439"/>
    <w:rsid w:val="00D2619D"/>
    <w:rsid w:val="00D26A94"/>
    <w:rsid w:val="00D276D4"/>
    <w:rsid w:val="00D27AA0"/>
    <w:rsid w:val="00D30228"/>
    <w:rsid w:val="00D3082C"/>
    <w:rsid w:val="00D311DD"/>
    <w:rsid w:val="00D3275B"/>
    <w:rsid w:val="00D32AF3"/>
    <w:rsid w:val="00D32B6F"/>
    <w:rsid w:val="00D3378A"/>
    <w:rsid w:val="00D33C47"/>
    <w:rsid w:val="00D3474E"/>
    <w:rsid w:val="00D35B8C"/>
    <w:rsid w:val="00D35FDC"/>
    <w:rsid w:val="00D37BBF"/>
    <w:rsid w:val="00D37E2A"/>
    <w:rsid w:val="00D43238"/>
    <w:rsid w:val="00D43D6F"/>
    <w:rsid w:val="00D5093B"/>
    <w:rsid w:val="00D50986"/>
    <w:rsid w:val="00D514CA"/>
    <w:rsid w:val="00D543E3"/>
    <w:rsid w:val="00D555C7"/>
    <w:rsid w:val="00D56A53"/>
    <w:rsid w:val="00D56DA7"/>
    <w:rsid w:val="00D5780A"/>
    <w:rsid w:val="00D61099"/>
    <w:rsid w:val="00D61E14"/>
    <w:rsid w:val="00D620CC"/>
    <w:rsid w:val="00D64D6B"/>
    <w:rsid w:val="00D65C3B"/>
    <w:rsid w:val="00D670F0"/>
    <w:rsid w:val="00D672C8"/>
    <w:rsid w:val="00D7062B"/>
    <w:rsid w:val="00D70992"/>
    <w:rsid w:val="00D74F0A"/>
    <w:rsid w:val="00D81385"/>
    <w:rsid w:val="00D81A7C"/>
    <w:rsid w:val="00D82BB7"/>
    <w:rsid w:val="00D83535"/>
    <w:rsid w:val="00D84D72"/>
    <w:rsid w:val="00D84FC1"/>
    <w:rsid w:val="00D86AA4"/>
    <w:rsid w:val="00D903DD"/>
    <w:rsid w:val="00D9060B"/>
    <w:rsid w:val="00D90CF6"/>
    <w:rsid w:val="00D91E61"/>
    <w:rsid w:val="00D92D83"/>
    <w:rsid w:val="00D942E7"/>
    <w:rsid w:val="00D95E88"/>
    <w:rsid w:val="00D9642A"/>
    <w:rsid w:val="00D965BF"/>
    <w:rsid w:val="00D968F1"/>
    <w:rsid w:val="00D978AA"/>
    <w:rsid w:val="00DA09AF"/>
    <w:rsid w:val="00DA2AE8"/>
    <w:rsid w:val="00DA3716"/>
    <w:rsid w:val="00DA4A81"/>
    <w:rsid w:val="00DA5055"/>
    <w:rsid w:val="00DA5DE2"/>
    <w:rsid w:val="00DB0B30"/>
    <w:rsid w:val="00DB2652"/>
    <w:rsid w:val="00DB6520"/>
    <w:rsid w:val="00DB6753"/>
    <w:rsid w:val="00DB7036"/>
    <w:rsid w:val="00DB78FC"/>
    <w:rsid w:val="00DC1129"/>
    <w:rsid w:val="00DC1456"/>
    <w:rsid w:val="00DC1C60"/>
    <w:rsid w:val="00DC2ACD"/>
    <w:rsid w:val="00DC4FE6"/>
    <w:rsid w:val="00DC7FEF"/>
    <w:rsid w:val="00DD2E87"/>
    <w:rsid w:val="00DD3B5E"/>
    <w:rsid w:val="00DD521C"/>
    <w:rsid w:val="00DD6E4D"/>
    <w:rsid w:val="00DD78D6"/>
    <w:rsid w:val="00DE1881"/>
    <w:rsid w:val="00DE1EC3"/>
    <w:rsid w:val="00DE24DB"/>
    <w:rsid w:val="00DE2505"/>
    <w:rsid w:val="00DE4E1F"/>
    <w:rsid w:val="00DE52BC"/>
    <w:rsid w:val="00DE63D6"/>
    <w:rsid w:val="00DE6CB7"/>
    <w:rsid w:val="00DE6E27"/>
    <w:rsid w:val="00DF090D"/>
    <w:rsid w:val="00DF1001"/>
    <w:rsid w:val="00DF157B"/>
    <w:rsid w:val="00DF18CC"/>
    <w:rsid w:val="00DF1DD7"/>
    <w:rsid w:val="00DF1F6F"/>
    <w:rsid w:val="00DF5F77"/>
    <w:rsid w:val="00DF7A6C"/>
    <w:rsid w:val="00E010BE"/>
    <w:rsid w:val="00E015B1"/>
    <w:rsid w:val="00E01633"/>
    <w:rsid w:val="00E02AFF"/>
    <w:rsid w:val="00E02F84"/>
    <w:rsid w:val="00E03A43"/>
    <w:rsid w:val="00E04192"/>
    <w:rsid w:val="00E0542F"/>
    <w:rsid w:val="00E05540"/>
    <w:rsid w:val="00E06374"/>
    <w:rsid w:val="00E06B69"/>
    <w:rsid w:val="00E07B39"/>
    <w:rsid w:val="00E11571"/>
    <w:rsid w:val="00E13739"/>
    <w:rsid w:val="00E204FD"/>
    <w:rsid w:val="00E20D80"/>
    <w:rsid w:val="00E22372"/>
    <w:rsid w:val="00E22B4D"/>
    <w:rsid w:val="00E25ADF"/>
    <w:rsid w:val="00E26F89"/>
    <w:rsid w:val="00E271C6"/>
    <w:rsid w:val="00E3024B"/>
    <w:rsid w:val="00E310F2"/>
    <w:rsid w:val="00E314B0"/>
    <w:rsid w:val="00E32066"/>
    <w:rsid w:val="00E3343C"/>
    <w:rsid w:val="00E34E08"/>
    <w:rsid w:val="00E354DD"/>
    <w:rsid w:val="00E410DE"/>
    <w:rsid w:val="00E42433"/>
    <w:rsid w:val="00E424C5"/>
    <w:rsid w:val="00E44057"/>
    <w:rsid w:val="00E4571E"/>
    <w:rsid w:val="00E46DA4"/>
    <w:rsid w:val="00E51664"/>
    <w:rsid w:val="00E5195C"/>
    <w:rsid w:val="00E55E31"/>
    <w:rsid w:val="00E56959"/>
    <w:rsid w:val="00E60098"/>
    <w:rsid w:val="00E60B0D"/>
    <w:rsid w:val="00E62232"/>
    <w:rsid w:val="00E63F4D"/>
    <w:rsid w:val="00E6453D"/>
    <w:rsid w:val="00E66338"/>
    <w:rsid w:val="00E674BE"/>
    <w:rsid w:val="00E70CE2"/>
    <w:rsid w:val="00E70F6A"/>
    <w:rsid w:val="00E71765"/>
    <w:rsid w:val="00E7188F"/>
    <w:rsid w:val="00E73589"/>
    <w:rsid w:val="00E74202"/>
    <w:rsid w:val="00E76260"/>
    <w:rsid w:val="00E775F7"/>
    <w:rsid w:val="00E77A60"/>
    <w:rsid w:val="00E83F11"/>
    <w:rsid w:val="00E84B9B"/>
    <w:rsid w:val="00E8567B"/>
    <w:rsid w:val="00E85812"/>
    <w:rsid w:val="00E860AE"/>
    <w:rsid w:val="00E86470"/>
    <w:rsid w:val="00E875EF"/>
    <w:rsid w:val="00E90632"/>
    <w:rsid w:val="00E90ADC"/>
    <w:rsid w:val="00E90E3C"/>
    <w:rsid w:val="00E9195E"/>
    <w:rsid w:val="00E933AA"/>
    <w:rsid w:val="00E93623"/>
    <w:rsid w:val="00E94DAE"/>
    <w:rsid w:val="00EA0A2C"/>
    <w:rsid w:val="00EA14EE"/>
    <w:rsid w:val="00EA2218"/>
    <w:rsid w:val="00EA26DA"/>
    <w:rsid w:val="00EA2D9D"/>
    <w:rsid w:val="00EA3630"/>
    <w:rsid w:val="00EA46D9"/>
    <w:rsid w:val="00EA76C2"/>
    <w:rsid w:val="00EB39C4"/>
    <w:rsid w:val="00EB3D89"/>
    <w:rsid w:val="00EB3E8F"/>
    <w:rsid w:val="00EB69C2"/>
    <w:rsid w:val="00EC24F4"/>
    <w:rsid w:val="00EC2A41"/>
    <w:rsid w:val="00EC30AE"/>
    <w:rsid w:val="00EC560B"/>
    <w:rsid w:val="00EC5ADA"/>
    <w:rsid w:val="00EC5EA9"/>
    <w:rsid w:val="00EC6B63"/>
    <w:rsid w:val="00ED07BB"/>
    <w:rsid w:val="00ED297E"/>
    <w:rsid w:val="00ED307E"/>
    <w:rsid w:val="00ED4299"/>
    <w:rsid w:val="00ED52AE"/>
    <w:rsid w:val="00EE0051"/>
    <w:rsid w:val="00EE1D2E"/>
    <w:rsid w:val="00EE34C9"/>
    <w:rsid w:val="00EE3821"/>
    <w:rsid w:val="00EE4776"/>
    <w:rsid w:val="00EE49BA"/>
    <w:rsid w:val="00EE63E4"/>
    <w:rsid w:val="00EE75C4"/>
    <w:rsid w:val="00EE7FAF"/>
    <w:rsid w:val="00EF084D"/>
    <w:rsid w:val="00EF221F"/>
    <w:rsid w:val="00EF2423"/>
    <w:rsid w:val="00EF373B"/>
    <w:rsid w:val="00EF39A9"/>
    <w:rsid w:val="00EF4D41"/>
    <w:rsid w:val="00F00AB2"/>
    <w:rsid w:val="00F012E8"/>
    <w:rsid w:val="00F01EAD"/>
    <w:rsid w:val="00F02F39"/>
    <w:rsid w:val="00F036CB"/>
    <w:rsid w:val="00F06607"/>
    <w:rsid w:val="00F07A14"/>
    <w:rsid w:val="00F12265"/>
    <w:rsid w:val="00F1286D"/>
    <w:rsid w:val="00F12A3D"/>
    <w:rsid w:val="00F13048"/>
    <w:rsid w:val="00F173C0"/>
    <w:rsid w:val="00F17940"/>
    <w:rsid w:val="00F2023B"/>
    <w:rsid w:val="00F26987"/>
    <w:rsid w:val="00F274AD"/>
    <w:rsid w:val="00F31395"/>
    <w:rsid w:val="00F324A8"/>
    <w:rsid w:val="00F33611"/>
    <w:rsid w:val="00F34F0B"/>
    <w:rsid w:val="00F3653E"/>
    <w:rsid w:val="00F36650"/>
    <w:rsid w:val="00F36A1E"/>
    <w:rsid w:val="00F40897"/>
    <w:rsid w:val="00F41FF8"/>
    <w:rsid w:val="00F4220E"/>
    <w:rsid w:val="00F44836"/>
    <w:rsid w:val="00F46D1F"/>
    <w:rsid w:val="00F50095"/>
    <w:rsid w:val="00F50C11"/>
    <w:rsid w:val="00F52156"/>
    <w:rsid w:val="00F52219"/>
    <w:rsid w:val="00F529D4"/>
    <w:rsid w:val="00F53835"/>
    <w:rsid w:val="00F53F62"/>
    <w:rsid w:val="00F543B1"/>
    <w:rsid w:val="00F55EA5"/>
    <w:rsid w:val="00F56840"/>
    <w:rsid w:val="00F568E7"/>
    <w:rsid w:val="00F62C11"/>
    <w:rsid w:val="00F63398"/>
    <w:rsid w:val="00F63477"/>
    <w:rsid w:val="00F72015"/>
    <w:rsid w:val="00F72721"/>
    <w:rsid w:val="00F72E29"/>
    <w:rsid w:val="00F748D1"/>
    <w:rsid w:val="00F74912"/>
    <w:rsid w:val="00F75C91"/>
    <w:rsid w:val="00F767D4"/>
    <w:rsid w:val="00F7684D"/>
    <w:rsid w:val="00F7749E"/>
    <w:rsid w:val="00F802C1"/>
    <w:rsid w:val="00F80314"/>
    <w:rsid w:val="00F80E4B"/>
    <w:rsid w:val="00F827BD"/>
    <w:rsid w:val="00F837DD"/>
    <w:rsid w:val="00F83ACD"/>
    <w:rsid w:val="00F85E36"/>
    <w:rsid w:val="00F870E3"/>
    <w:rsid w:val="00F93136"/>
    <w:rsid w:val="00F943FD"/>
    <w:rsid w:val="00F9625B"/>
    <w:rsid w:val="00F96D48"/>
    <w:rsid w:val="00F97F4E"/>
    <w:rsid w:val="00FA068E"/>
    <w:rsid w:val="00FA3E41"/>
    <w:rsid w:val="00FA41E3"/>
    <w:rsid w:val="00FA455E"/>
    <w:rsid w:val="00FA5D13"/>
    <w:rsid w:val="00FA6471"/>
    <w:rsid w:val="00FA79EF"/>
    <w:rsid w:val="00FB011B"/>
    <w:rsid w:val="00FB4B9A"/>
    <w:rsid w:val="00FB5B72"/>
    <w:rsid w:val="00FB683F"/>
    <w:rsid w:val="00FB69F8"/>
    <w:rsid w:val="00FB7215"/>
    <w:rsid w:val="00FB7475"/>
    <w:rsid w:val="00FC042B"/>
    <w:rsid w:val="00FC0B03"/>
    <w:rsid w:val="00FC2AFC"/>
    <w:rsid w:val="00FC2DD5"/>
    <w:rsid w:val="00FC316E"/>
    <w:rsid w:val="00FC65BF"/>
    <w:rsid w:val="00FD20B8"/>
    <w:rsid w:val="00FD3540"/>
    <w:rsid w:val="00FD49B8"/>
    <w:rsid w:val="00FD49E8"/>
    <w:rsid w:val="00FD528A"/>
    <w:rsid w:val="00FD62BC"/>
    <w:rsid w:val="00FD648A"/>
    <w:rsid w:val="00FD766A"/>
    <w:rsid w:val="00FE07F8"/>
    <w:rsid w:val="00FE09B1"/>
    <w:rsid w:val="00FE1B4A"/>
    <w:rsid w:val="00FE2EC0"/>
    <w:rsid w:val="00FE2F8F"/>
    <w:rsid w:val="00FE5163"/>
    <w:rsid w:val="00FE5195"/>
    <w:rsid w:val="00FE7120"/>
    <w:rsid w:val="00FF0634"/>
    <w:rsid w:val="00FF1040"/>
    <w:rsid w:val="00FF107F"/>
    <w:rsid w:val="00FF116A"/>
    <w:rsid w:val="00FF1474"/>
    <w:rsid w:val="00FF227F"/>
    <w:rsid w:val="00FF49A8"/>
    <w:rsid w:val="00FF5CEF"/>
    <w:rsid w:val="00FF6BF4"/>
    <w:rsid w:val="00FF7572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64E1"/>
  <w15:chartTrackingRefBased/>
  <w15:docId w15:val="{C66BF82B-DC6D-4757-9EA6-26FFD7EF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vertAlign w:val="superscript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5C4"/>
    <w:rPr>
      <w:vertAlign w:val="baseli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6260"/>
    <w:pPr>
      <w:keepNext/>
      <w:keepLines/>
      <w:spacing w:before="400" w:after="120" w:line="276" w:lineRule="auto"/>
      <w:jc w:val="center"/>
      <w:outlineLvl w:val="0"/>
    </w:pPr>
    <w:rPr>
      <w:rFonts w:eastAsia="Arial" w:cs="Arial"/>
      <w:b/>
      <w:sz w:val="28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2B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B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2B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2B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2B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2B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2B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260"/>
    <w:rPr>
      <w:rFonts w:ascii="Arial" w:eastAsia="Arial" w:hAnsi="Arial" w:cs="Arial"/>
      <w:b/>
      <w:sz w:val="28"/>
      <w:szCs w:val="40"/>
      <w:lang w:val="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6260"/>
    <w:pPr>
      <w:spacing w:before="360" w:after="460"/>
    </w:pPr>
    <w:rPr>
      <w:rFonts w:eastAsiaTheme="minorEastAsia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2B5F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baseli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2B5F"/>
    <w:rPr>
      <w:rFonts w:asciiTheme="minorHAnsi" w:eastAsiaTheme="majorEastAsia" w:hAnsiTheme="minorHAnsi" w:cstheme="majorBidi"/>
      <w:color w:val="2F5496" w:themeColor="accent1" w:themeShade="BF"/>
      <w:sz w:val="28"/>
      <w:szCs w:val="28"/>
      <w:vertAlign w:val="baseli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B5F"/>
    <w:rPr>
      <w:rFonts w:asciiTheme="minorHAnsi" w:eastAsiaTheme="majorEastAsia" w:hAnsiTheme="minorHAnsi" w:cstheme="majorBidi"/>
      <w:i/>
      <w:iCs/>
      <w:color w:val="2F5496" w:themeColor="accent1" w:themeShade="BF"/>
      <w:vertAlign w:val="baseli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2B5F"/>
    <w:rPr>
      <w:rFonts w:asciiTheme="minorHAnsi" w:eastAsiaTheme="majorEastAsia" w:hAnsiTheme="minorHAnsi" w:cstheme="majorBidi"/>
      <w:color w:val="2F5496" w:themeColor="accent1" w:themeShade="BF"/>
      <w:vertAlign w:val="baseli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2B5F"/>
    <w:rPr>
      <w:rFonts w:asciiTheme="minorHAnsi" w:eastAsiaTheme="majorEastAsia" w:hAnsiTheme="minorHAnsi" w:cstheme="majorBidi"/>
      <w:i/>
      <w:iCs/>
      <w:color w:val="595959" w:themeColor="text1" w:themeTint="A6"/>
      <w:vertAlign w:val="baseli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2B5F"/>
    <w:rPr>
      <w:rFonts w:asciiTheme="minorHAnsi" w:eastAsiaTheme="majorEastAsia" w:hAnsiTheme="minorHAnsi" w:cstheme="majorBidi"/>
      <w:color w:val="595959" w:themeColor="text1" w:themeTint="A6"/>
      <w:vertAlign w:val="baseli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2B5F"/>
    <w:rPr>
      <w:rFonts w:asciiTheme="minorHAnsi" w:eastAsiaTheme="majorEastAsia" w:hAnsiTheme="minorHAnsi" w:cstheme="majorBidi"/>
      <w:i/>
      <w:iCs/>
      <w:color w:val="272727" w:themeColor="text1" w:themeTint="D8"/>
      <w:vertAlign w:val="baseli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2B5F"/>
    <w:rPr>
      <w:rFonts w:asciiTheme="minorHAnsi" w:eastAsiaTheme="majorEastAsia" w:hAnsiTheme="minorHAnsi" w:cstheme="majorBidi"/>
      <w:color w:val="272727" w:themeColor="text1" w:themeTint="D8"/>
      <w:vertAlign w:val="baseline"/>
    </w:rPr>
  </w:style>
  <w:style w:type="paragraph" w:styleId="Tytu">
    <w:name w:val="Title"/>
    <w:basedOn w:val="Normalny"/>
    <w:next w:val="Normalny"/>
    <w:link w:val="TytuZnak"/>
    <w:uiPriority w:val="10"/>
    <w:qFormat/>
    <w:rsid w:val="009D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B5F"/>
    <w:rPr>
      <w:rFonts w:asciiTheme="majorHAnsi" w:eastAsiaTheme="majorEastAsia" w:hAnsiTheme="majorHAnsi" w:cstheme="majorBidi"/>
      <w:spacing w:val="-10"/>
      <w:kern w:val="28"/>
      <w:sz w:val="56"/>
      <w:szCs w:val="56"/>
      <w:vertAlign w:val="baseli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2B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2B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vertAlign w:val="baseline"/>
    </w:rPr>
  </w:style>
  <w:style w:type="paragraph" w:styleId="Cytat">
    <w:name w:val="Quote"/>
    <w:basedOn w:val="Normalny"/>
    <w:next w:val="Normalny"/>
    <w:link w:val="CytatZnak"/>
    <w:uiPriority w:val="29"/>
    <w:qFormat/>
    <w:rsid w:val="009D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2B5F"/>
    <w:rPr>
      <w:i/>
      <w:iCs/>
      <w:color w:val="404040" w:themeColor="text1" w:themeTint="BF"/>
      <w:vertAlign w:val="baseline"/>
    </w:rPr>
  </w:style>
  <w:style w:type="paragraph" w:styleId="Akapitzlist">
    <w:name w:val="List Paragraph"/>
    <w:basedOn w:val="Normalny"/>
    <w:uiPriority w:val="34"/>
    <w:qFormat/>
    <w:rsid w:val="009D2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2B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B5F"/>
    <w:rPr>
      <w:i/>
      <w:iCs/>
      <w:color w:val="2F5496" w:themeColor="accent1" w:themeShade="BF"/>
      <w:vertAlign w:val="baseline"/>
    </w:rPr>
  </w:style>
  <w:style w:type="character" w:styleId="Odwoanieintensywne">
    <w:name w:val="Intense Reference"/>
    <w:basedOn w:val="Domylnaczcionkaakapitu"/>
    <w:uiPriority w:val="32"/>
    <w:qFormat/>
    <w:rsid w:val="009D2B5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2B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B5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DE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DE"/>
    <w:rPr>
      <w:sz w:val="20"/>
      <w:vertAlign w:val="baseli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C26"/>
    <w:rPr>
      <w:vertAlign w:val="baseline"/>
    </w:rPr>
  </w:style>
  <w:style w:type="paragraph" w:styleId="Stopka">
    <w:name w:val="footer"/>
    <w:basedOn w:val="Normalny"/>
    <w:link w:val="StopkaZnak"/>
    <w:uiPriority w:val="99"/>
    <w:unhideWhenUsed/>
    <w:rsid w:val="0022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C26"/>
    <w:rPr>
      <w:vertAlign w:val="baseli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0A8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0A8"/>
    <w:rPr>
      <w:sz w:val="20"/>
      <w:vertAlign w:val="baseli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0A8"/>
    <w:rPr>
      <w:vertAlign w:val="superscript"/>
    </w:rPr>
  </w:style>
  <w:style w:type="paragraph" w:styleId="Poprawka">
    <w:name w:val="Revision"/>
    <w:hidden/>
    <w:uiPriority w:val="99"/>
    <w:semiHidden/>
    <w:rsid w:val="00335774"/>
    <w:pPr>
      <w:spacing w:after="0" w:line="240" w:lineRule="auto"/>
    </w:pPr>
    <w:rPr>
      <w:vertAlign w:val="baseli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BB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BBC"/>
    <w:rPr>
      <w:sz w:val="20"/>
      <w:vertAlign w:val="baseli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BBC"/>
    <w:rPr>
      <w:b/>
      <w:bCs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6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3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9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5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EFC9-42E1-451D-B65D-D7EAFD34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3883</Words>
  <Characters>26291</Characters>
  <Application>Microsoft Office Word</Application>
  <DocSecurity>0</DocSecurity>
  <Lines>375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Kowalska</dc:creator>
  <cp:keywords/>
  <dc:description/>
  <cp:lastModifiedBy>Natalia Walczak</cp:lastModifiedBy>
  <cp:revision>2</cp:revision>
  <dcterms:created xsi:type="dcterms:W3CDTF">2025-02-07T19:28:00Z</dcterms:created>
  <dcterms:modified xsi:type="dcterms:W3CDTF">2025-02-07T19:28:00Z</dcterms:modified>
</cp:coreProperties>
</file>